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>Załącznik nr 1 do SWZ</w:t>
      </w:r>
      <w:r>
        <w:fldChar w:fldCharType="begin"/>
      </w:r>
      <w:r>
        <w:rPr>
          <w:b/>
          <w:rFonts w:cs="Times New Roman" w:ascii="Times New Roman" w:hAnsi="Times New Roman"/>
        </w:rPr>
        <w:instrText> TC "Załącznik nr 1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sz w:val="24"/>
          <w:szCs w:val="24"/>
        </w:rPr>
        <w:t>FORMULARZ OFERTY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w postępowaniu o udzielenie zamówienia publicznego, którego wartość szacunkowa nie przekracza kwoty określonej w przepisach wydanych na podstawie art. 3 ust. 1 pkt 1 ustawy, realizowanym w trybie podstawowym pn: </w:t>
      </w:r>
      <w:r>
        <w:rPr>
          <w:rFonts w:eastAsia="Tahoma" w:cs="Times New Roman" w:ascii="Times New Roman" w:hAnsi="Times New Roman"/>
          <w:b/>
          <w:bCs/>
          <w:color w:val="00000A"/>
          <w:sz w:val="22"/>
          <w:szCs w:val="22"/>
          <w:lang w:eastAsia="ar-SA"/>
        </w:rPr>
        <w:t>Budowa drogi gminnej wraz z budową kanalizacji deszczowej, sanitarnej, odcinka sieci wodociągowej i linii oświetleniowej na dz. nr 266 w m. Wrzeście oraz budowa odcinka sieci wodociągowej i sanitarnej na dz. nr 260 w miejscowości Wrzeście.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Znak sprawy: ZP.271.21.2021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Nazwa i adres Zamawiającego: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</w:rPr>
        <w:t>Gmina Słupsk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</w:rPr>
        <w:t>ul. Sportowa 34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</w:rPr>
        <w:t>76-200 Słupsk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  <w:lang w:val="en-US"/>
        </w:rPr>
        <w:t>tel. +48 59 842 84 60</w:t>
      </w:r>
    </w:p>
    <w:p>
      <w:pPr>
        <w:pStyle w:val="Normal"/>
        <w:tabs>
          <w:tab w:val="clear" w:pos="709"/>
          <w:tab w:val="left" w:pos="7826" w:leader="none"/>
        </w:tabs>
        <w:spacing w:lineRule="auto" w:line="240" w:before="0" w:after="0"/>
        <w:jc w:val="both"/>
        <w:rPr/>
      </w:pPr>
      <w:hyperlink r:id="rId2">
        <w:r>
          <w:rPr>
            <w:rFonts w:ascii="Times New Roman" w:hAnsi="Times New Roman"/>
            <w:sz w:val="22"/>
            <w:szCs w:val="22"/>
          </w:rPr>
          <w:t>www.gminaslupsk.pl</w:t>
        </w:r>
      </w:hyperlink>
      <w:r>
        <w:rPr>
          <w:rFonts w:eastAsia="Calibri" w:cs="Times New Roman" w:ascii="Times New Roman" w:hAnsi="Times New Roman"/>
          <w:sz w:val="22"/>
          <w:szCs w:val="22"/>
          <w:lang w:val="en-US"/>
        </w:rPr>
        <w:t xml:space="preserve"> </w:t>
        <w:tab/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Fonts w:ascii="Times New Roman" w:hAnsi="Times New Roman" w:eastAsia="Calibri" w:cs="Times New Roman"/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</w:rPr>
      </w:r>
    </w:p>
    <w:p>
      <w:pPr>
        <w:pStyle w:val="ListParagraph"/>
        <w:spacing w:lineRule="auto" w:line="36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Dane dotyczące Wykonawcy:</w:t>
      </w:r>
    </w:p>
    <w:p>
      <w:pPr>
        <w:pStyle w:val="ListParagraph"/>
        <w:spacing w:lineRule="auto" w:line="36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Nazwa firmy: ……………………………………………………………….....</w:t>
      </w:r>
    </w:p>
    <w:p>
      <w:pPr>
        <w:pStyle w:val="ListParagraph"/>
        <w:spacing w:lineRule="auto" w:line="36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Siedziba firmy: ………………………………………………………………...</w:t>
      </w:r>
    </w:p>
    <w:p>
      <w:pPr>
        <w:pStyle w:val="ListParagraph"/>
        <w:spacing w:lineRule="auto" w:line="36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Nr telefonu/faks: ……………………………………………………………....</w:t>
      </w:r>
    </w:p>
    <w:p>
      <w:pPr>
        <w:pStyle w:val="ListParagraph"/>
        <w:spacing w:lineRule="auto" w:line="36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e-mail: ………………………………………………………………………….</w:t>
      </w:r>
    </w:p>
    <w:p>
      <w:pPr>
        <w:pStyle w:val="ListParagraph"/>
        <w:spacing w:lineRule="auto" w:line="36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Nr NIP: …………………………………………………………………………</w:t>
      </w:r>
    </w:p>
    <w:p>
      <w:pPr>
        <w:pStyle w:val="ListParagraph"/>
        <w:spacing w:lineRule="auto" w:line="36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Urząd Skarbowy: ……………………………………………………………....</w:t>
      </w:r>
    </w:p>
    <w:p>
      <w:pPr>
        <w:pStyle w:val="ListParagraph"/>
        <w:spacing w:lineRule="auto" w:line="360"/>
        <w:ind w:left="0" w:hanging="0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Nr REGON: ……………………………………………………………………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  <w:t>(nazwa (firma) dokładny adres Wykonawcy/Wykonawców; w przypadku składania oferty przez podmioty występujące wspólnie podać nazwy (firmy) i dokładne adresy wszystkich Wykonawców wspólnie ubiegających się o udzielenie niniejszego zamówienia).</w:t>
      </w:r>
    </w:p>
    <w:p>
      <w:pPr>
        <w:pStyle w:val="ListParagraph"/>
        <w:ind w:left="720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284" w:hanging="142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 nawiązaniu do ogłoszenia o zamówieniu oraz treści Specyfikacji Warunków Zamówienia (SWZ) oferuję wykonanie przedmiotu niniejszego zamówienia w zakresie i na zasadach określonych w SWZ: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1. za cenę łączną: 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left="0" w:right="0" w:hanging="0"/>
        <w:contextualSpacing/>
        <w:jc w:val="left"/>
        <w:rPr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 xml:space="preserve">…………………… </w:t>
      </w:r>
      <w:r>
        <w:rPr>
          <w:rFonts w:cs="Times New Roman" w:ascii="Times New Roman" w:hAnsi="Times New Roman"/>
          <w:b/>
          <w:sz w:val="22"/>
          <w:szCs w:val="22"/>
        </w:rPr>
        <w:t xml:space="preserve">zł brutto </w:t>
      </w:r>
      <w:r>
        <w:rPr>
          <w:rFonts w:cs="Times New Roman" w:ascii="Times New Roman" w:hAnsi="Times New Roman"/>
          <w:sz w:val="22"/>
          <w:szCs w:val="22"/>
        </w:rPr>
        <w:t xml:space="preserve">(słownie: </w:t>
      </w:r>
      <w:r>
        <w:rPr>
          <w:rFonts w:cs="Times New Roman" w:ascii="Times New Roman" w:hAnsi="Times New Roman"/>
          <w:b/>
          <w:bCs/>
          <w:sz w:val="22"/>
          <w:szCs w:val="22"/>
        </w:rPr>
        <w:t>………………………………………………………………....……</w:t>
      </w:r>
      <w:r>
        <w:rPr>
          <w:rFonts w:cs="Times New Roman" w:ascii="Times New Roman" w:hAnsi="Times New Roman"/>
          <w:sz w:val="22"/>
          <w:szCs w:val="22"/>
        </w:rPr>
        <w:t>)</w:t>
      </w:r>
    </w:p>
    <w:p>
      <w:pPr>
        <w:pStyle w:val="Normal"/>
        <w:spacing w:lineRule="auto" w:line="240" w:before="0" w:after="0"/>
        <w:ind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 tym:</w:t>
      </w:r>
    </w:p>
    <w:p>
      <w:pPr>
        <w:pStyle w:val="Normal"/>
        <w:spacing w:lineRule="auto" w:line="240" w:before="0" w:after="0"/>
        <w:ind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Wartość netto: …………………………………………………….. zł</w:t>
      </w:r>
    </w:p>
    <w:p>
      <w:pPr>
        <w:pStyle w:val="Normal"/>
        <w:spacing w:lineRule="auto" w:line="240" w:before="0" w:after="0"/>
        <w:ind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Kwota podatku VAT: …………………………………………...… zł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 tym:</w:t>
      </w:r>
    </w:p>
    <w:tbl>
      <w:tblPr>
        <w:tblW w:w="9586" w:type="dxa"/>
        <w:jc w:val="left"/>
        <w:tblInd w:w="59" w:type="dxa"/>
        <w:tblCellMar>
          <w:top w:w="55" w:type="dxa"/>
          <w:left w:w="48" w:type="dxa"/>
          <w:bottom w:w="55" w:type="dxa"/>
          <w:right w:w="55" w:type="dxa"/>
        </w:tblCellMar>
      </w:tblPr>
      <w:tblGrid>
        <w:gridCol w:w="2591"/>
        <w:gridCol w:w="2111"/>
        <w:gridCol w:w="2336"/>
        <w:gridCol w:w="2547"/>
      </w:tblGrid>
      <w:tr>
        <w:trPr/>
        <w:tc>
          <w:tcPr>
            <w:tcW w:w="25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color w:val="auto"/>
              </w:rPr>
            </w:pPr>
            <w:r>
              <w:rPr>
                <w:rFonts w:eastAsia="Calibri" w:cs="Tahoma" w:ascii="Times New Roman" w:hAnsi="Times New Roman"/>
                <w:b/>
                <w:bCs/>
                <w:i w:val="false"/>
                <w:iCs w:val="false"/>
                <w:color w:val="auto"/>
                <w:sz w:val="22"/>
                <w:szCs w:val="22"/>
                <w:lang w:val="pl-PL" w:eastAsia="en-US" w:bidi="ar-SA"/>
              </w:rPr>
              <w:t>NETTO</w:t>
            </w:r>
          </w:p>
        </w:tc>
        <w:tc>
          <w:tcPr>
            <w:tcW w:w="23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color w:val="auto"/>
              </w:rPr>
            </w:pPr>
            <w:r>
              <w:rPr>
                <w:rFonts w:eastAsia="Calibri" w:cs="Tahoma" w:ascii="Times New Roman" w:hAnsi="Times New Roman"/>
                <w:b/>
                <w:bCs/>
                <w:i w:val="false"/>
                <w:iCs w:val="false"/>
                <w:color w:val="auto"/>
                <w:sz w:val="22"/>
                <w:szCs w:val="22"/>
                <w:lang w:val="pl-PL" w:eastAsia="en-US" w:bidi="ar-SA"/>
              </w:rPr>
              <w:t>VAT</w:t>
            </w:r>
          </w:p>
        </w:tc>
        <w:tc>
          <w:tcPr>
            <w:tcW w:w="25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  <w:color w:val="auto"/>
              </w:rPr>
            </w:pPr>
            <w:r>
              <w:rPr>
                <w:rFonts w:eastAsia="Calibri" w:cs="Tahoma" w:ascii="Times New Roman" w:hAnsi="Times New Roman"/>
                <w:b/>
                <w:bCs/>
                <w:i w:val="false"/>
                <w:iCs w:val="false"/>
                <w:color w:val="auto"/>
                <w:sz w:val="22"/>
                <w:szCs w:val="22"/>
                <w:lang w:val="pl-PL" w:eastAsia="en-US" w:bidi="ar-SA"/>
              </w:rPr>
              <w:t>BRUTTO</w:t>
            </w:r>
          </w:p>
        </w:tc>
      </w:tr>
      <w:tr>
        <w:trPr/>
        <w:tc>
          <w:tcPr>
            <w:tcW w:w="25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Tahoma" w:ascii="Times New Roman" w:hAnsi="Times New Roman"/>
                <w:b w:val="false"/>
                <w:bCs w:val="false"/>
                <w:color w:val="00000A"/>
                <w:sz w:val="20"/>
                <w:szCs w:val="20"/>
                <w:lang w:val="pl-PL" w:eastAsia="en-US" w:bidi="ar-SA"/>
              </w:rPr>
              <w:t>Branża drogowa</w:t>
            </w:r>
          </w:p>
        </w:tc>
        <w:tc>
          <w:tcPr>
            <w:tcW w:w="2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3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5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25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Tahoma" w:ascii="Times New Roman" w:hAnsi="Times New Roman"/>
                <w:b w:val="false"/>
                <w:bCs w:val="false"/>
                <w:color w:val="auto"/>
                <w:sz w:val="20"/>
                <w:szCs w:val="20"/>
                <w:lang w:val="pl-PL" w:eastAsia="en-US" w:bidi="ar-SA"/>
              </w:rPr>
              <w:t xml:space="preserve">Branża sanitarna – </w:t>
              <w:br/>
              <w:t xml:space="preserve">kanalizacja deszczowa </w:t>
              <w:br/>
              <w:t>na dz. nr 266</w:t>
            </w:r>
          </w:p>
        </w:tc>
        <w:tc>
          <w:tcPr>
            <w:tcW w:w="2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/>
                <w:color w:val="FF3333"/>
              </w:rPr>
            </w:pPr>
            <w:r>
              <w:rPr>
                <w:rFonts w:ascii="Times New Roman" w:hAnsi="Times New Roman"/>
                <w:color w:val="FF3333"/>
              </w:rPr>
            </w:r>
          </w:p>
        </w:tc>
        <w:tc>
          <w:tcPr>
            <w:tcW w:w="23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/>
                <w:color w:val="FF3333"/>
              </w:rPr>
            </w:pPr>
            <w:r>
              <w:rPr>
                <w:rFonts w:ascii="Times New Roman" w:hAnsi="Times New Roman"/>
                <w:color w:val="FF3333"/>
              </w:rPr>
            </w:r>
          </w:p>
        </w:tc>
        <w:tc>
          <w:tcPr>
            <w:tcW w:w="25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 w:eastAsia="Calibri" w:cs="Tahoma"/>
                <w:color w:val="FF3333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Tahoma" w:ascii="Times New Roman" w:hAnsi="Times New Roman"/>
                <w:color w:val="FF3333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2591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lineRule="auto" w:line="240" w:before="0" w:after="20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Tahoma" w:ascii="Times New Roman" w:hAnsi="Times New Roman"/>
                <w:b w:val="false"/>
                <w:bCs w:val="false"/>
                <w:color w:val="auto"/>
                <w:sz w:val="20"/>
                <w:szCs w:val="20"/>
                <w:lang w:val="pl-PL" w:eastAsia="en-US" w:bidi="ar-SA"/>
              </w:rPr>
              <w:t xml:space="preserve">Branża sanitarna – </w:t>
              <w:br/>
              <w:t xml:space="preserve">kanalizacja sanitarna </w:t>
              <w:br/>
              <w:t>na dz. nr 266</w:t>
            </w:r>
          </w:p>
        </w:tc>
        <w:tc>
          <w:tcPr>
            <w:tcW w:w="2111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/>
                <w:color w:val="FF3333"/>
              </w:rPr>
            </w:pPr>
            <w:r>
              <w:rPr>
                <w:rFonts w:ascii="Times New Roman" w:hAnsi="Times New Roman"/>
                <w:color w:val="FF3333"/>
              </w:rPr>
            </w:r>
          </w:p>
        </w:tc>
        <w:tc>
          <w:tcPr>
            <w:tcW w:w="2336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/>
                <w:color w:val="FF3333"/>
              </w:rPr>
            </w:pPr>
            <w:r>
              <w:rPr>
                <w:rFonts w:ascii="Times New Roman" w:hAnsi="Times New Roman"/>
                <w:color w:val="FF3333"/>
              </w:rPr>
            </w:r>
          </w:p>
        </w:tc>
        <w:tc>
          <w:tcPr>
            <w:tcW w:w="254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 w:eastAsia="Calibri" w:cs="Tahoma"/>
                <w:color w:val="FF3333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Tahoma" w:ascii="Times New Roman" w:hAnsi="Times New Roman"/>
                <w:color w:val="FF3333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25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Tahoma" w:ascii="Times New Roman" w:hAnsi="Times New Roman"/>
                <w:b w:val="false"/>
                <w:bCs w:val="false"/>
                <w:color w:val="00000A"/>
                <w:sz w:val="20"/>
                <w:szCs w:val="20"/>
                <w:lang w:val="pl-PL" w:eastAsia="en-US" w:bidi="ar-SA"/>
              </w:rPr>
              <w:t xml:space="preserve"> </w:t>
            </w:r>
            <w:r>
              <w:rPr>
                <w:rFonts w:eastAsia="Calibri" w:cs="Tahoma" w:ascii="Times New Roman" w:hAnsi="Times New Roman"/>
                <w:b w:val="false"/>
                <w:bCs w:val="false"/>
                <w:color w:val="00000A"/>
                <w:sz w:val="20"/>
                <w:szCs w:val="20"/>
                <w:lang w:val="pl-PL" w:eastAsia="en-US" w:bidi="ar-SA"/>
              </w:rPr>
              <w:t>W</w:t>
            </w:r>
            <w:r>
              <w:rPr>
                <w:rFonts w:eastAsia="Calibri" w:cs="Tahoma" w:ascii="Times New Roman" w:hAnsi="Times New Roman"/>
                <w:b w:val="false"/>
                <w:bCs w:val="false"/>
                <w:color w:val="00000A"/>
                <w:kern w:val="0"/>
                <w:sz w:val="20"/>
                <w:szCs w:val="20"/>
                <w:lang w:val="pl-PL" w:eastAsia="en-US" w:bidi="ar-SA"/>
              </w:rPr>
              <w:t xml:space="preserve">odociąg </w:t>
            </w:r>
            <w:r>
              <w:rPr>
                <w:rFonts w:eastAsia="Calibri" w:cs="Tahoma" w:ascii="Times New Roman" w:hAnsi="Times New Roman"/>
                <w:b w:val="false"/>
                <w:bCs w:val="false"/>
                <w:color w:val="auto"/>
                <w:kern w:val="0"/>
                <w:sz w:val="20"/>
                <w:szCs w:val="20"/>
                <w:lang w:val="pl-PL" w:eastAsia="en-US" w:bidi="ar-SA"/>
              </w:rPr>
              <w:t>na dz. nr 266</w:t>
            </w:r>
          </w:p>
        </w:tc>
        <w:tc>
          <w:tcPr>
            <w:tcW w:w="2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3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5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 w:eastAsia="Calibri" w:cs="Tahoma"/>
                <w:color w:val="00000A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Tahoma" w:ascii="Times New Roman" w:hAnsi="Times New Roman"/>
                <w:color w:val="00000A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2591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lineRule="auto" w:line="240" w:before="0" w:after="20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Tahoma" w:ascii="Times New Roman" w:hAnsi="Times New Roman"/>
                <w:b w:val="false"/>
                <w:bCs w:val="false"/>
                <w:color w:val="00000A"/>
                <w:kern w:val="0"/>
                <w:sz w:val="20"/>
                <w:szCs w:val="20"/>
                <w:lang w:val="pl-PL" w:eastAsia="en-US" w:bidi="ar-SA"/>
              </w:rPr>
              <w:t>Branża energetyczna</w:t>
            </w:r>
          </w:p>
        </w:tc>
        <w:tc>
          <w:tcPr>
            <w:tcW w:w="2111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336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54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 w:eastAsia="Calibri" w:cs="Tahoma"/>
                <w:color w:val="00000A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Tahoma" w:ascii="Times New Roman" w:hAnsi="Times New Roman"/>
                <w:color w:val="00000A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2591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lineRule="auto" w:line="240"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Wodociąg i kanalizacja sanitarna na dz. nr 260</w:t>
            </w:r>
          </w:p>
        </w:tc>
        <w:tc>
          <w:tcPr>
            <w:tcW w:w="2111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336" w:type="dxa"/>
            <w:tcBorders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54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jc w:val="center"/>
              <w:rPr>
                <w:rFonts w:ascii="Times New Roman" w:hAnsi="Times New Roman" w:eastAsia="Calibri" w:cs="Tahoma"/>
                <w:color w:val="00000A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Tahoma" w:ascii="Times New Roman" w:hAnsi="Times New Roman"/>
                <w:color w:val="00000A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259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0"/>
              <w:jc w:val="center"/>
              <w:rPr>
                <w:rFonts w:ascii="Times New Roman" w:hAnsi="Times New Roman" w:eastAsia="SimSun" w:cs="Lucida Sans"/>
                <w:b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eastAsia="SimSun" w:cs="Lucida Sans" w:ascii="Times New Roman" w:hAnsi="Times New Roman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</w:r>
          </w:p>
          <w:p>
            <w:pPr>
              <w:pStyle w:val="Zawartotabeli"/>
              <w:spacing w:before="0" w:after="0"/>
              <w:jc w:val="center"/>
              <w:rPr>
                <w:rFonts w:ascii="Times New Roman" w:hAnsi="Times New Roman" w:eastAsia="SimSun" w:cs="Lucida Sans"/>
                <w:b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eastAsia="SimSun" w:cs="Lucida Sans" w:ascii="Times New Roman" w:hAnsi="Times New Roman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  <w:t>Suma</w:t>
            </w:r>
          </w:p>
          <w:p>
            <w:pPr>
              <w:pStyle w:val="Zawartotabeli"/>
              <w:spacing w:before="0" w:after="0"/>
              <w:jc w:val="center"/>
              <w:rPr>
                <w:rFonts w:ascii="Times New Roman" w:hAnsi="Times New Roman" w:eastAsia="SimSun" w:cs="Lucida Sans"/>
                <w:b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eastAsia="SimSun" w:cs="Lucida Sans" w:ascii="Times New Roman" w:hAnsi="Times New Roman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</w:r>
          </w:p>
        </w:tc>
        <w:tc>
          <w:tcPr>
            <w:tcW w:w="2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3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5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Zawartotabeli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2. okres gwarancji na wykonane roboty budowlane</w:t>
      </w:r>
      <w:r>
        <w:rPr>
          <w:rFonts w:cs="Times New Roman" w:ascii="Times New Roman" w:hAnsi="Times New Roman"/>
          <w:color w:val="auto"/>
          <w:sz w:val="22"/>
          <w:szCs w:val="22"/>
        </w:rPr>
        <w:t xml:space="preserve"> </w:t>
      </w:r>
      <w:r>
        <w:rPr>
          <w:rFonts w:cs="Times New Roman" w:ascii="Times New Roman" w:hAnsi="Times New Roman"/>
          <w:b/>
          <w:color w:val="auto"/>
          <w:sz w:val="22"/>
          <w:szCs w:val="22"/>
        </w:rPr>
        <w:t>………… miesięcy</w:t>
      </w:r>
      <w:r>
        <w:rPr>
          <w:rFonts w:cs="Times New Roman" w:ascii="Times New Roman" w:hAnsi="Times New Roman"/>
          <w:color w:val="auto"/>
          <w:sz w:val="22"/>
          <w:szCs w:val="22"/>
        </w:rPr>
        <w:t>.</w:t>
      </w:r>
      <w:r>
        <w:rPr>
          <w:rFonts w:cs="Times New Roman" w:ascii="Times New Roman" w:hAnsi="Times New Roman"/>
          <w:sz w:val="22"/>
          <w:szCs w:val="22"/>
        </w:rPr>
        <w:t xml:space="preserve"> Okres gwarancyjny rozpoczyna bieg od daty zakończenia odbioru końcowego. </w:t>
      </w:r>
      <w:r>
        <w:rPr>
          <w:rFonts w:cs="Times New Roman" w:ascii="Times New Roman" w:hAnsi="Times New Roman"/>
          <w:sz w:val="22"/>
          <w:szCs w:val="22"/>
          <w:u w:val="single"/>
        </w:rPr>
        <w:t>Minimalny okres gwarancji 36 miesięcy, maksymalny 60 miesięcy.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3. Termin wykonania zamówienia: </w:t>
      </w:r>
      <w:r>
        <w:rPr>
          <w:rFonts w:cs="Times New Roman" w:ascii="Times New Roman" w:hAnsi="Times New Roman"/>
          <w:b/>
          <w:bCs/>
          <w:sz w:val="22"/>
          <w:szCs w:val="22"/>
        </w:rPr>
        <w:t>do</w:t>
      </w:r>
      <w:r>
        <w:rPr>
          <w:rFonts w:cs="Times New Roman" w:ascii="Times New Roman" w:hAnsi="Times New Roman"/>
          <w:sz w:val="22"/>
          <w:szCs w:val="22"/>
        </w:rPr>
        <w:t xml:space="preserve"> </w:t>
      </w:r>
      <w:r>
        <w:rPr>
          <w:rFonts w:cs="Times New Roman" w:ascii="Times New Roman" w:hAnsi="Times New Roman"/>
          <w:b/>
          <w:bCs/>
          <w:sz w:val="22"/>
          <w:szCs w:val="22"/>
        </w:rPr>
        <w:t>4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2"/>
          <w:szCs w:val="22"/>
          <w:lang w:val="pl-PL" w:eastAsia="zh-CN" w:bidi="hi-IN"/>
        </w:rPr>
        <w:t xml:space="preserve"> </w:t>
      </w:r>
      <w:r>
        <w:rPr>
          <w:rFonts w:eastAsia="Calibri" w:cs="Tahoma" w:ascii="Times New Roman" w:hAnsi="Times New Roman"/>
          <w:b/>
          <w:bCs/>
          <w:color w:val="00000A"/>
          <w:sz w:val="22"/>
          <w:szCs w:val="22"/>
          <w:lang w:val="pl-PL" w:eastAsia="en-US" w:bidi="ar-SA"/>
        </w:rPr>
        <w:t xml:space="preserve">miesięcy od dnia </w:t>
      </w:r>
      <w:r>
        <w:rPr>
          <w:rFonts w:eastAsia="Calibri" w:cs="Tahoma" w:ascii="Times New Roman" w:hAnsi="Times New Roman"/>
          <w:b/>
          <w:bCs/>
          <w:color w:val="00000A"/>
          <w:kern w:val="2"/>
          <w:sz w:val="22"/>
          <w:szCs w:val="22"/>
          <w:lang w:val="pl-PL" w:eastAsia="en-US" w:bidi="ar-SA"/>
        </w:rPr>
        <w:t xml:space="preserve">zawarcia </w:t>
      </w:r>
      <w:r>
        <w:rPr>
          <w:rFonts w:eastAsia="Calibri" w:cs="Tahoma" w:ascii="Times New Roman" w:hAnsi="Times New Roman"/>
          <w:b/>
          <w:bCs/>
          <w:color w:val="00000A"/>
          <w:sz w:val="22"/>
          <w:szCs w:val="22"/>
          <w:lang w:val="pl-PL" w:eastAsia="en-US" w:bidi="ar-SA"/>
        </w:rPr>
        <w:t>umowy.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  <w:b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4. Na wykonany przedmiot zamówienia udzielam rękojmi na okres 60 miesięcy</w:t>
      </w:r>
      <w:r>
        <w:rPr>
          <w:rFonts w:cs="Times New Roman" w:ascii="Times New Roman" w:hAnsi="Times New Roman"/>
          <w:b/>
          <w:sz w:val="22"/>
          <w:szCs w:val="22"/>
        </w:rPr>
        <w:t xml:space="preserve"> </w:t>
      </w:r>
      <w:r>
        <w:rPr>
          <w:rFonts w:cs="Times New Roman" w:ascii="Times New Roman" w:hAnsi="Times New Roman"/>
          <w:sz w:val="22"/>
          <w:szCs w:val="22"/>
        </w:rPr>
        <w:t>licząc od daty bezusterkowego odbioru końcowego całego przedmiotu zamówienia.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1800" w:hanging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5. Informujemy, że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2"/>
      </w:r>
      <w:r>
        <w:rPr>
          <w:rFonts w:cs="Times New Roman" w:ascii="Times New Roman" w:hAnsi="Times New Roman"/>
          <w:sz w:val="22"/>
          <w:szCs w:val="22"/>
        </w:rPr>
        <w:t xml:space="preserve"> :</w:t>
      </w:r>
    </w:p>
    <w:p>
      <w:pPr>
        <w:pStyle w:val="ListParagraph"/>
        <w:numPr>
          <w:ilvl w:val="3"/>
          <w:numId w:val="1"/>
        </w:numPr>
        <w:spacing w:lineRule="auto" w:line="240" w:before="0" w:after="0"/>
        <w:ind w:left="851" w:hanging="284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wybór oferty nie będzie prowadzić do powstania u Zamawiającego obowiązku podatkowego </w:t>
      </w:r>
    </w:p>
    <w:p>
      <w:pPr>
        <w:pStyle w:val="ListParagraph"/>
        <w:numPr>
          <w:ilvl w:val="3"/>
          <w:numId w:val="1"/>
        </w:numPr>
        <w:spacing w:lineRule="auto" w:line="240" w:before="0" w:after="0"/>
        <w:ind w:left="851" w:hanging="284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wybór oferty będzie prowadzić do powstania u Zamawiającego obowiązku podatkowego </w:t>
        <w:br/>
        <w:t>w odniesieniu do następujących towarów/usług (w zależności od przedmiotu zamówienia)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3"/>
      </w:r>
      <w:r>
        <w:rPr>
          <w:rFonts w:cs="Times New Roman" w:ascii="Times New Roman" w:hAnsi="Times New Roman"/>
          <w:sz w:val="22"/>
          <w:szCs w:val="22"/>
        </w:rPr>
        <w:t xml:space="preserve"> </w:t>
      </w:r>
    </w:p>
    <w:p>
      <w:pPr>
        <w:pStyle w:val="ListParagraph"/>
        <w:spacing w:lineRule="auto" w:line="240" w:before="0" w:after="0"/>
        <w:ind w:left="851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___________________________________________________________</w:t>
      </w:r>
    </w:p>
    <w:p>
      <w:pPr>
        <w:pStyle w:val="ListParagraph"/>
        <w:spacing w:lineRule="auto" w:line="240" w:before="0" w:after="0"/>
        <w:ind w:left="851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Wartość towaru/usług (w zależności od przedmiotu zamówienia) powodująca obowiązek podatkowy u Zamawiającego to ________________________zł netto </w:t>
      </w:r>
    </w:p>
    <w:p>
      <w:pPr>
        <w:pStyle w:val="ListParagraph"/>
        <w:spacing w:lineRule="auto" w:line="240" w:before="0" w:after="0"/>
        <w:ind w:left="3240" w:hanging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Informacje dotyczące podwykonawstwa:</w:t>
      </w:r>
    </w:p>
    <w:p>
      <w:pPr>
        <w:pStyle w:val="ListParagraph"/>
        <w:numPr>
          <w:ilvl w:val="1"/>
          <w:numId w:val="1"/>
        </w:numPr>
        <w:ind w:left="567" w:hanging="141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Zamówienie wykonam sam/następujące części zamówienia powierzę Podwykonawcom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4"/>
      </w:r>
    </w:p>
    <w:tbl>
      <w:tblPr>
        <w:tblStyle w:val="Tabela-Siatka1"/>
        <w:tblW w:w="9145" w:type="dxa"/>
        <w:jc w:val="left"/>
        <w:tblInd w:w="704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63"/>
        <w:gridCol w:w="4513"/>
        <w:gridCol w:w="3969"/>
      </w:tblGrid>
      <w:tr>
        <w:trPr/>
        <w:tc>
          <w:tcPr>
            <w:tcW w:w="66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Lp.</w:t>
            </w:r>
          </w:p>
        </w:tc>
        <w:tc>
          <w:tcPr>
            <w:tcW w:w="451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Zakres powierzonej części zamówienia</w:t>
            </w:r>
          </w:p>
        </w:tc>
        <w:tc>
          <w:tcPr>
            <w:tcW w:w="396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Firma podwykonawcy</w:t>
            </w:r>
          </w:p>
        </w:tc>
      </w:tr>
      <w:tr>
        <w:trPr/>
        <w:tc>
          <w:tcPr>
            <w:tcW w:w="66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451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96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</w:tbl>
    <w:p>
      <w:pPr>
        <w:pStyle w:val="ListParagraph"/>
        <w:numPr>
          <w:ilvl w:val="0"/>
          <w:numId w:val="0"/>
        </w:numPr>
        <w:ind w:left="2226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1"/>
          <w:numId w:val="1"/>
        </w:numPr>
        <w:ind w:left="709" w:hanging="283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Zamówienie wykonam z udziałem podwykonawców, na których zasoby powołuję się na zasadach określonych w art. </w:t>
      </w:r>
      <w:r>
        <w:rPr>
          <w:rFonts w:eastAsia="SimSun" w:cs="Times New Roman" w:ascii="Times New Roman" w:hAnsi="Times New Roman"/>
          <w:color w:val="auto"/>
          <w:kern w:val="2"/>
          <w:sz w:val="22"/>
          <w:szCs w:val="22"/>
          <w:lang w:val="pl-PL" w:eastAsia="zh-CN" w:bidi="hi-IN"/>
        </w:rPr>
        <w:t>118</w:t>
      </w:r>
      <w:r>
        <w:rPr>
          <w:rFonts w:cs="Times New Roman" w:ascii="Times New Roman" w:hAnsi="Times New Roman"/>
          <w:sz w:val="22"/>
          <w:szCs w:val="22"/>
        </w:rPr>
        <w:t xml:space="preserve"> Ustawy, w celu wykazania spełniania warunków udziału w postępowaniu, </w:t>
        <w:br/>
        <w:t xml:space="preserve">o których mowa w art. </w:t>
      </w:r>
      <w:r>
        <w:rPr>
          <w:rFonts w:eastAsia="SimSun" w:cs="Times New Roman" w:ascii="Times New Roman" w:hAnsi="Times New Roman"/>
          <w:color w:val="auto"/>
          <w:kern w:val="2"/>
          <w:sz w:val="22"/>
          <w:szCs w:val="22"/>
          <w:lang w:val="pl-PL" w:eastAsia="zh-CN" w:bidi="hi-IN"/>
        </w:rPr>
        <w:t>112</w:t>
      </w:r>
      <w:r>
        <w:rPr>
          <w:rFonts w:cs="Times New Roman" w:ascii="Times New Roman" w:hAnsi="Times New Roman"/>
          <w:sz w:val="22"/>
          <w:szCs w:val="22"/>
        </w:rPr>
        <w:t xml:space="preserve"> ust. Ustawy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5"/>
      </w:r>
      <w:r>
        <w:rPr>
          <w:rFonts w:cs="Times New Roman" w:ascii="Times New Roman" w:hAnsi="Times New Roman"/>
          <w:sz w:val="22"/>
          <w:szCs w:val="22"/>
        </w:rPr>
        <w:t xml:space="preserve"> </w:t>
        <w:br/>
        <w:t>(nazwa/firma podwykonawców):</w:t>
      </w:r>
    </w:p>
    <w:p>
      <w:pPr>
        <w:pStyle w:val="ListParagraph"/>
        <w:spacing w:lineRule="auto" w:line="360"/>
        <w:ind w:left="2160" w:hanging="1451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</w:t>
      </w:r>
      <w:r>
        <w:rPr>
          <w:rFonts w:cs="Times New Roman" w:ascii="Times New Roman" w:hAnsi="Times New Roman"/>
          <w:sz w:val="22"/>
          <w:szCs w:val="22"/>
        </w:rPr>
        <w:t>..………………………………………………………………………………..</w:t>
      </w:r>
    </w:p>
    <w:p>
      <w:pPr>
        <w:pStyle w:val="ListParagraph"/>
        <w:spacing w:lineRule="auto" w:line="360"/>
        <w:ind w:left="709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>
      <w:pPr>
        <w:pStyle w:val="ListParagraph"/>
        <w:spacing w:lineRule="auto" w:line="360"/>
        <w:ind w:left="709" w:hanging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4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że: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uzyskałem konieczne informacje do przygotowania oferty,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zadeklarowana wyżej cena ryczałtowa zawiera wszelkie koszty niezbędne do wykonania niniejszego zamówienia</w:t>
      </w:r>
      <w:r>
        <w:rPr>
          <w:rFonts w:cs="Times New Roman" w:ascii="Times New Roman" w:hAnsi="Times New Roman"/>
          <w:sz w:val="22"/>
          <w:szCs w:val="22"/>
        </w:rPr>
        <w:t xml:space="preserve"> zgodnie z prawem budowlanym, dokumentacją projektową, SWZ, obejmującą koszty wszelkich robót przygotowawczych, oraz ponoszeniem we własnym zakresie związanych z tym kosztów, sporządzenia tymczasowej organizacji ruchu, kosztów robót porządkowych, zagospodarowania placu budowy, sporządzenia dokumentacji odbiorowej oraz podatek VAT w ustawowej wysokości, z uwzględnieniem wprowadzonych zmian na etapie postępowania,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zobowiązuję się do wykonania robót budowlanych stanowiących przedmiot niniejszego zamówienia wyłącznie z materiałów i urządzeń fabrycznie nowych, dopuszczonych do obrotu i powszechnego jednostkowego stosowania w budownictwie, objętych certyfikatem w zakresie tzw. znaku bezpieczeństwa, wskazującego na zgodność z Polską Normą, aprobatą techniczną i właściwymi przepisami technicznymi zgodnie z art. 10 ustawy z dnia 07 lipca 1994 r. Prawo budowlane (t. j. Dz. U. z 2019 r., poz. 1186, 1309, 1524, 1696, 1712, 1815, 2166, 2170, oraz Dz. U. z 2020 poz. 148),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zadeklarowana cena ryczałtowa przez cały okres realizacji umowy nie będzie podlegała zmianom, </w:t>
        <w:br/>
        <w:t>z wyjątkiem prawa Zamawiającego określonego we wzorze umowy,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>zapoznałem się z treścią Specyfikacji Warunków Zamówienia</w:t>
      </w:r>
      <w:r>
        <w:rPr>
          <w:rFonts w:cs="Times New Roman" w:ascii="Times New Roman" w:hAnsi="Times New Roman"/>
          <w:sz w:val="22"/>
          <w:szCs w:val="22"/>
        </w:rPr>
        <w:t xml:space="preserve"> i nie wnoszę do niej zastrzeżeń oraz zdobyłem wszelkie informacje niezbędne do właściwego opracowania oferty oraz do należytego wykonania przedmiotu zamówienia,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uważam się </w:t>
      </w:r>
      <w:r>
        <w:rPr>
          <w:rFonts w:cs="Times New Roman" w:ascii="Times New Roman" w:hAnsi="Times New Roman"/>
          <w:b/>
          <w:bCs/>
          <w:sz w:val="22"/>
          <w:szCs w:val="22"/>
        </w:rPr>
        <w:t xml:space="preserve">za związanego złożoną ofertą przez okres 30 dni </w:t>
      </w:r>
      <w:r>
        <w:rPr>
          <w:rFonts w:cs="Times New Roman" w:ascii="Times New Roman" w:hAnsi="Times New Roman"/>
          <w:sz w:val="22"/>
          <w:szCs w:val="22"/>
        </w:rPr>
        <w:t>licząc od upływu terminu do składania ofert wraz z tym dniem,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 xml:space="preserve">w przypadku wybrania mojej oferty zobowiązuję się do przedłożenia przed podpisaniem umowy kosztorysu ofertowego w odniesieniu do dokumentacji projektowej stanowiącej załącznik nr 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2"/>
          <w:szCs w:val="22"/>
          <w:lang w:val="pl-PL" w:eastAsia="zh-CN" w:bidi="hi-IN"/>
        </w:rPr>
        <w:t>7</w:t>
      </w:r>
      <w:r>
        <w:rPr>
          <w:rFonts w:cs="Times New Roman" w:ascii="Times New Roman" w:hAnsi="Times New Roman"/>
          <w:b/>
          <w:bCs/>
          <w:sz w:val="22"/>
          <w:szCs w:val="22"/>
        </w:rPr>
        <w:t xml:space="preserve"> do SWZ oraz w oparciu o udzielone przez Zamawiającego odpowiedzi na pytania składane w trakcie procedury,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 xml:space="preserve">zawarty w Specyfikacji Warunków Zamówienia wzór umowy został przeze mnie zaakceptowany </w:t>
      </w:r>
      <w:r>
        <w:rPr>
          <w:rFonts w:cs="Times New Roman" w:ascii="Times New Roman" w:hAnsi="Times New Roman"/>
          <w:sz w:val="22"/>
          <w:szCs w:val="22"/>
        </w:rPr>
        <w:t>i w razie wybrania mojej oferty zobowiązuję się do jej podpisania w miejscu i terminie określonym przez Zamawiającego oraz do wniesienia zabezpieczenia należytego wykonania umowy,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wypełniłem obowiązki informacyjne przewidziane w art. 13 lub art. 14 RODO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6"/>
      </w:r>
      <w:r>
        <w:rPr>
          <w:rFonts w:cs="Times New Roman" w:ascii="Times New Roman" w:hAnsi="Times New Roman"/>
          <w:sz w:val="22"/>
          <w:szCs w:val="22"/>
          <w:vertAlign w:val="superscript"/>
        </w:rPr>
        <w:t xml:space="preserve"> </w:t>
      </w:r>
      <w:r>
        <w:rPr>
          <w:rFonts w:cs="Times New Roman" w:ascii="Times New Roman" w:hAnsi="Times New Roman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>
      <w:pPr>
        <w:pStyle w:val="ListParagraph"/>
        <w:numPr>
          <w:ilvl w:val="0"/>
          <w:numId w:val="0"/>
        </w:numPr>
        <w:spacing w:lineRule="auto" w:line="240"/>
        <w:ind w:left="2226" w:hanging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40"/>
        <w:ind w:left="142" w:hanging="142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Wadium należy zwrócić na rachunek bankowy nr …………………………………………………. prowadzony w banku ……………………………………../ </w:t>
      </w:r>
      <w:r>
        <w:rPr>
          <w:rFonts w:eastAsia="SimSun" w:cs="Times New Roman" w:ascii="Times New Roman" w:hAnsi="Times New Roman"/>
          <w:color w:val="auto"/>
          <w:kern w:val="2"/>
          <w:sz w:val="22"/>
          <w:szCs w:val="22"/>
          <w:lang w:val="pl-PL" w:eastAsia="zh-CN" w:bidi="hi-IN"/>
        </w:rPr>
        <w:t>nie dotyczy</w:t>
      </w:r>
    </w:p>
    <w:p>
      <w:pPr>
        <w:pStyle w:val="ListParagraph"/>
        <w:numPr>
          <w:ilvl w:val="0"/>
          <w:numId w:val="0"/>
        </w:numPr>
        <w:spacing w:lineRule="auto" w:line="240"/>
        <w:ind w:left="1080" w:hanging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ind w:left="142" w:hanging="142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Załącznikami do niniejszego formularza stanowiącymi integralną część oferty są oświadczenia, dokumenty i załączniki w postaci:</w:t>
      </w:r>
    </w:p>
    <w:p>
      <w:pPr>
        <w:pStyle w:val="ListParagraph"/>
        <w:numPr>
          <w:ilvl w:val="1"/>
          <w:numId w:val="1"/>
        </w:numPr>
        <w:ind w:left="426" w:hanging="284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</w:t>
      </w:r>
    </w:p>
    <w:p>
      <w:pPr>
        <w:pStyle w:val="ListParagraph"/>
        <w:numPr>
          <w:ilvl w:val="1"/>
          <w:numId w:val="1"/>
        </w:numPr>
        <w:tabs>
          <w:tab w:val="clear" w:pos="709"/>
          <w:tab w:val="left" w:pos="426" w:leader="none"/>
        </w:tabs>
        <w:spacing w:before="0" w:after="200"/>
        <w:ind w:left="454" w:right="0" w:hanging="34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</w:t>
      </w:r>
    </w:p>
    <w:p>
      <w:pPr>
        <w:pStyle w:val="ListParagraph"/>
        <w:numPr>
          <w:ilvl w:val="1"/>
          <w:numId w:val="1"/>
        </w:numPr>
        <w:ind w:left="426" w:hanging="284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</w:t>
      </w:r>
    </w:p>
    <w:p>
      <w:pPr>
        <w:pStyle w:val="ListParagraph"/>
        <w:spacing w:lineRule="auto" w:line="240"/>
        <w:ind w:left="2160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40"/>
        <w:ind w:left="142" w:hanging="142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iż zastrzegam/nie zastrzegam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7"/>
      </w:r>
      <w:r>
        <w:rPr>
          <w:rFonts w:cs="Times New Roman" w:ascii="Times New Roman" w:hAnsi="Times New Roman"/>
          <w:sz w:val="22"/>
          <w:szCs w:val="22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8"/>
      </w:r>
      <w:r>
        <w:rPr>
          <w:rFonts w:cs="Times New Roman" w:ascii="Times New Roman" w:hAnsi="Times New Roman"/>
          <w:sz w:val="22"/>
          <w:szCs w:val="22"/>
        </w:rPr>
        <w:t>:</w:t>
      </w:r>
    </w:p>
    <w:p>
      <w:pPr>
        <w:pStyle w:val="ListParagraph"/>
        <w:spacing w:lineRule="auto" w:line="240"/>
        <w:ind w:left="142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……………………………………………………………………………………………………</w:t>
      </w:r>
    </w:p>
    <w:p>
      <w:pPr>
        <w:pStyle w:val="ListParagraph"/>
        <w:spacing w:lineRule="auto" w:line="240"/>
        <w:ind w:left="142" w:hanging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300" w:leader="none"/>
        </w:tabs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że jesteśmy/nie jesteśmy mikroprzedsiębiorstwem, małym lub średnim przedsiębiorstwem (zgodnie z definicją  MŚP zawartą w załączniku I do Rozporządzenia Komisji UE Nr 651/2014 z dnia 17 czerwca 2014 r.)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9"/>
      </w:r>
    </w:p>
    <w:p>
      <w:pPr>
        <w:pStyle w:val="ListParagraph"/>
        <w:spacing w:lineRule="auto" w:line="240"/>
        <w:ind w:left="72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  <w:t xml:space="preserve">   </w:t>
      </w:r>
      <w:r>
        <w:rPr>
          <w:rFonts w:cs="Times New Roman" w:ascii="Times New Roman" w:hAnsi="Times New Roman"/>
          <w:i/>
          <w:sz w:val="22"/>
          <w:szCs w:val="22"/>
        </w:rPr>
        <w:t>UWAGA:</w:t>
      </w:r>
    </w:p>
    <w:p>
      <w:pPr>
        <w:pStyle w:val="ListParagraph"/>
        <w:spacing w:lineRule="auto" w:line="240"/>
        <w:ind w:left="142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  <w:t xml:space="preserve">Por. zalecenie Komisji z dnia 6 maja 2003 r. dotyczące definicji mikroprzedsiębiorstw oraz małych </w:t>
        <w:br/>
        <w:t xml:space="preserve">i średnich przedsiębiorstw (Dz. U. L 124 z 20.5.2003, s. 36). Te informacje są wymagane wyłącznie do celów statystycznych. </w:t>
      </w:r>
    </w:p>
    <w:p>
      <w:pPr>
        <w:pStyle w:val="ListParagraph"/>
        <w:spacing w:lineRule="auto" w:line="240"/>
        <w:ind w:left="142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i/>
          <w:sz w:val="22"/>
          <w:szCs w:val="22"/>
        </w:rPr>
        <w:t>Mikroprzedsiębiorstwo:</w:t>
      </w:r>
      <w:r>
        <w:rPr>
          <w:rFonts w:cs="Times New Roman" w:ascii="Times New Roman" w:hAnsi="Times New Roman"/>
          <w:i/>
          <w:sz w:val="22"/>
          <w:szCs w:val="22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2"/>
          <w:szCs w:val="22"/>
        </w:rPr>
        <w:t>zatrudnia mniej niż 10 osób</w:t>
      </w:r>
      <w:r>
        <w:rPr>
          <w:rFonts w:cs="Times New Roman" w:ascii="Times New Roman" w:hAnsi="Times New Roman"/>
          <w:i/>
          <w:sz w:val="22"/>
          <w:szCs w:val="22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2"/>
          <w:szCs w:val="22"/>
        </w:rPr>
        <w:t>nie przekracza 2 milionów EUR</w:t>
      </w:r>
      <w:r>
        <w:rPr>
          <w:rFonts w:cs="Times New Roman" w:ascii="Times New Roman" w:hAnsi="Times New Roman"/>
          <w:i/>
          <w:sz w:val="22"/>
          <w:szCs w:val="22"/>
        </w:rPr>
        <w:t>.</w:t>
      </w:r>
    </w:p>
    <w:p>
      <w:pPr>
        <w:pStyle w:val="ListParagraph"/>
        <w:spacing w:lineRule="auto" w:line="240"/>
        <w:ind w:left="142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i/>
          <w:sz w:val="22"/>
          <w:szCs w:val="22"/>
        </w:rPr>
        <w:t>Małe przedsiębiorstwo:</w:t>
      </w:r>
      <w:r>
        <w:rPr>
          <w:rFonts w:cs="Times New Roman" w:ascii="Times New Roman" w:hAnsi="Times New Roman"/>
          <w:i/>
          <w:sz w:val="22"/>
          <w:szCs w:val="22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2"/>
          <w:szCs w:val="22"/>
        </w:rPr>
        <w:t>zatrudnia mniej niż 50 osób</w:t>
      </w:r>
      <w:r>
        <w:rPr>
          <w:rFonts w:cs="Times New Roman" w:ascii="Times New Roman" w:hAnsi="Times New Roman"/>
          <w:i/>
          <w:sz w:val="22"/>
          <w:szCs w:val="22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2"/>
          <w:szCs w:val="22"/>
        </w:rPr>
        <w:t>nie przekracza 10 milionów EUR</w:t>
      </w:r>
      <w:r>
        <w:rPr>
          <w:rFonts w:cs="Times New Roman" w:ascii="Times New Roman" w:hAnsi="Times New Roman"/>
          <w:i/>
          <w:sz w:val="22"/>
          <w:szCs w:val="22"/>
        </w:rPr>
        <w:t>.</w:t>
      </w:r>
    </w:p>
    <w:p>
      <w:pPr>
        <w:pStyle w:val="ListParagraph"/>
        <w:ind w:left="142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i/>
          <w:sz w:val="22"/>
          <w:szCs w:val="22"/>
        </w:rPr>
        <w:t>Średnie przedsiębiorstwa: przedsiębiorstwa, które nie są mikroprzedsiębiorstwami ani małymi przedsiębiorstwami</w:t>
      </w:r>
      <w:r>
        <w:rPr>
          <w:rFonts w:cs="Times New Roman" w:ascii="Times New Roman" w:hAnsi="Times New Roman"/>
          <w:i/>
          <w:sz w:val="22"/>
          <w:szCs w:val="22"/>
        </w:rPr>
        <w:t xml:space="preserve"> i które </w:t>
      </w:r>
      <w:r>
        <w:rPr>
          <w:rFonts w:cs="Times New Roman" w:ascii="Times New Roman" w:hAnsi="Times New Roman"/>
          <w:b/>
          <w:i/>
          <w:sz w:val="22"/>
          <w:szCs w:val="22"/>
        </w:rPr>
        <w:t>zatrudniają mniej niż 250 osób</w:t>
      </w:r>
      <w:r>
        <w:rPr>
          <w:rFonts w:cs="Times New Roman" w:ascii="Times New Roman" w:hAnsi="Times New Roman"/>
          <w:i/>
          <w:sz w:val="22"/>
          <w:szCs w:val="22"/>
        </w:rPr>
        <w:t xml:space="preserve"> i których </w:t>
      </w:r>
      <w:r>
        <w:rPr>
          <w:rFonts w:cs="Times New Roman" w:ascii="Times New Roman" w:hAnsi="Times New Roman"/>
          <w:b/>
          <w:i/>
          <w:sz w:val="22"/>
          <w:szCs w:val="22"/>
        </w:rPr>
        <w:t>roczny obrót nie przekracza 50 milionów EUR</w:t>
      </w:r>
      <w:r>
        <w:rPr>
          <w:rFonts w:cs="Times New Roman" w:ascii="Times New Roman" w:hAnsi="Times New Roman"/>
          <w:i/>
          <w:sz w:val="22"/>
          <w:szCs w:val="22"/>
        </w:rPr>
        <w:t xml:space="preserve"> </w:t>
      </w:r>
      <w:r>
        <w:rPr>
          <w:rFonts w:cs="Times New Roman" w:ascii="Times New Roman" w:hAnsi="Times New Roman"/>
          <w:b/>
          <w:i/>
          <w:sz w:val="22"/>
          <w:szCs w:val="22"/>
        </w:rPr>
        <w:t>lub</w:t>
      </w:r>
      <w:r>
        <w:rPr>
          <w:rFonts w:cs="Times New Roman" w:ascii="Times New Roman" w:hAnsi="Times New Roman"/>
          <w:i/>
          <w:sz w:val="22"/>
          <w:szCs w:val="22"/>
        </w:rPr>
        <w:t xml:space="preserve"> </w:t>
      </w:r>
      <w:r>
        <w:rPr>
          <w:rFonts w:cs="Times New Roman" w:ascii="Times New Roman" w:hAnsi="Times New Roman"/>
          <w:b/>
          <w:i/>
          <w:sz w:val="22"/>
          <w:szCs w:val="22"/>
        </w:rPr>
        <w:t>roczna suma bilansowa nie przekracza 43 milionów EUR</w:t>
      </w:r>
    </w:p>
    <w:p>
      <w:pPr>
        <w:pStyle w:val="ListParagraph"/>
        <w:ind w:left="142" w:hanging="0"/>
        <w:jc w:val="both"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cs="Times New Roman" w:ascii="Times New Roman" w:hAnsi="Times New Roman"/>
          <w:b/>
          <w:i/>
          <w:sz w:val="20"/>
          <w:szCs w:val="20"/>
        </w:rPr>
      </w:r>
    </w:p>
    <w:p>
      <w:pPr>
        <w:pStyle w:val="ListParagraph"/>
        <w:spacing w:before="0" w:after="20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200"/>
        <w:ind w:left="720" w:hanging="0"/>
        <w:contextualSpacing/>
        <w:jc w:val="both"/>
        <w:rPr>
          <w:rFonts w:ascii="Times New Roman" w:hAnsi="Times New Roman" w:cs="Times New Roman"/>
        </w:rPr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/>
        <w:tab/>
        <w:t xml:space="preserve"> </w:t>
      </w:r>
      <w:r>
        <w:rPr>
          <w:rFonts w:cs="Times New Roman" w:ascii="Times New Roman" w:hAnsi="Times New Roman"/>
        </w:rPr>
        <w:t>Niepotrzebne skreślić</w:t>
      </w:r>
    </w:p>
  </w:footnote>
  <w:footnote w:id="3">
    <w:p>
      <w:pPr>
        <w:pStyle w:val="Przypisdolny"/>
        <w:suppressLineNumbers/>
        <w:ind w:left="227" w:right="0" w:hanging="227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Dotyczy Wykonawców, których oferty będą generować obowiązek doliczenia wartości podatku VAT do wartości netto oferty, tj. w przypadku: wewnątrzwspólnotowego nabycia towarów, mechanizmu odwróconego obciążenia, </w:t>
        <w:br/>
        <w:t xml:space="preserve">o którym mowa w art. 17 ust. 1 pkt 7 ustawy o podatku od towarów i usług, importu usług lub importu towarów, </w:t>
        <w:br/>
        <w:t>z którymi wiąże się obowiązek doliczenia przez Zamawiającego przy porównywaniu cen ofertowych podatku VAT</w:t>
      </w:r>
    </w:p>
  </w:footnote>
  <w:footnote w:id="4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Niepotrzebne skreślić – w przypadku wykonywania części zamówienia przez Podwykonawców należy wskazać część zamówienia, której wykonanie Wykonawca zamierza powierzyć Podwykonawcom.</w:t>
      </w:r>
    </w:p>
  </w:footnote>
  <w:footnote w:id="5">
    <w:p>
      <w:pPr>
        <w:pStyle w:val="Przypisdolny"/>
        <w:ind w:left="142" w:hanging="142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 xml:space="preserve">Niniejszy punkt wypełnia Wykonawca, w przypadku Podwykonawców, na których zasoby powołuje się na zasadach określonych w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118</w:t>
      </w:r>
      <w:r>
        <w:rPr>
          <w:rFonts w:cs="Times New Roman" w:ascii="Times New Roman" w:hAnsi="Times New Roman"/>
        </w:rPr>
        <w:t xml:space="preserve"> Ustawy, w celu wykazania spełniania warunków udziału w postępowaniu, o których mowa </w:t>
        <w:br/>
        <w:t xml:space="preserve">w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112</w:t>
      </w:r>
      <w:r>
        <w:rPr>
          <w:rFonts w:cs="Times New Roman" w:ascii="Times New Roman" w:hAnsi="Times New Roman"/>
        </w:rPr>
        <w:t xml:space="preserve"> ust. Ustawy.</w:t>
      </w:r>
    </w:p>
  </w:footnote>
  <w:footnote w:id="6">
    <w:p>
      <w:pPr>
        <w:pStyle w:val="Przypisdolny"/>
        <w:ind w:left="142" w:hanging="142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  <w:sz w:val="18"/>
          <w:szCs w:val="18"/>
        </w:rPr>
        <w:tab/>
        <w:t xml:space="preserve">rozporządzenie Parlamentu Europejskiego i Rady (UE) 2016/679 z dnia 27 kwietnia 2016 r. w sprawie ochrony osób fizycznych </w:t>
        <w:br/>
        <w:t>w związku z przetwarzaniem danych osobowych i w sprawie swobodnego przepływu takich danych oraz uchylenia dyrektywy 95/46/WE (ogólne rozporządzenie o ochronie danych) (Dz. Urz. UE L 119 z 04.05.2016, str. 1</w:t>
      </w:r>
    </w:p>
    <w:p>
      <w:pPr>
        <w:pStyle w:val="Przypisdolny"/>
        <w:jc w:val="both"/>
        <w:rPr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ab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7">
    <w:p>
      <w:pPr>
        <w:pStyle w:val="Przypisdolny"/>
        <w:ind w:left="142" w:hanging="142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  <w:sz w:val="18"/>
          <w:szCs w:val="18"/>
        </w:rPr>
        <w:tab/>
        <w:t xml:space="preserve"> </w:t>
      </w:r>
      <w:r>
        <w:rPr>
          <w:rFonts w:cs="Times New Roman" w:ascii="Times New Roman" w:hAnsi="Times New Roman"/>
          <w:sz w:val="18"/>
          <w:szCs w:val="18"/>
        </w:rPr>
        <w:t>Niepotrzebne skreślić.</w:t>
      </w:r>
    </w:p>
  </w:footnote>
  <w:footnote w:id="8">
    <w:p>
      <w:pPr>
        <w:pStyle w:val="Przypisdolny"/>
        <w:ind w:left="339" w:hanging="0"/>
        <w:rPr/>
      </w:pPr>
      <w:r>
        <w:rPr>
          <w:rStyle w:val="Znakiprzypiswdolnych"/>
        </w:rPr>
        <w:footnoteRef/>
      </w:r>
      <w:r>
        <w:rPr>
          <w:rStyle w:val="Znakiprzypiswdolnych"/>
          <w:sz w:val="18"/>
          <w:szCs w:val="18"/>
        </w:rPr>
        <w:t xml:space="preserve"> </w:t>
      </w:r>
      <w:r>
        <w:rPr>
          <w:rFonts w:cs="Times New Roman" w:ascii="Times New Roman" w:hAnsi="Times New Roman"/>
          <w:sz w:val="18"/>
          <w:szCs w:val="18"/>
        </w:rPr>
        <w:t xml:space="preserve">W przypadku zastrzeżenia w ofercie informacji w trybie art. </w:t>
      </w:r>
      <w:r>
        <w:rPr>
          <w:rFonts w:eastAsia="SimSun" w:cs="Times New Roman" w:ascii="Times New Roman" w:hAnsi="Times New Roman"/>
          <w:color w:val="auto"/>
          <w:kern w:val="2"/>
          <w:sz w:val="18"/>
          <w:szCs w:val="18"/>
          <w:lang w:val="pl-PL" w:eastAsia="zh-CN" w:bidi="hi-IN"/>
        </w:rPr>
        <w:t>18</w:t>
      </w:r>
      <w:r>
        <w:rPr>
          <w:rFonts w:cs="Times New Roman" w:ascii="Times New Roman" w:hAnsi="Times New Roman"/>
          <w:sz w:val="18"/>
          <w:szCs w:val="18"/>
        </w:rPr>
        <w:t xml:space="preserve"> ust. </w:t>
      </w:r>
      <w:r>
        <w:rPr>
          <w:rFonts w:eastAsia="SimSun" w:cs="Times New Roman" w:ascii="Times New Roman" w:hAnsi="Times New Roman"/>
          <w:color w:val="auto"/>
          <w:kern w:val="2"/>
          <w:sz w:val="18"/>
          <w:szCs w:val="18"/>
          <w:lang w:val="pl-PL" w:eastAsia="zh-CN" w:bidi="hi-IN"/>
        </w:rPr>
        <w:t>3</w:t>
      </w:r>
      <w:r>
        <w:rPr>
          <w:rFonts w:cs="Times New Roman" w:ascii="Times New Roman" w:hAnsi="Times New Roman"/>
          <w:sz w:val="18"/>
          <w:szCs w:val="18"/>
        </w:rPr>
        <w:t xml:space="preserve"> ustawy zaleca się wymienić informacje zastrzeżone stanowiące tajemnicę przedsiębiorstwa oraz zabezpieczyć je zgodnie z postanowieniami SWZ.</w:t>
      </w:r>
    </w:p>
  </w:footnote>
  <w:footnote w:id="9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  <w:sz w:val="18"/>
          <w:szCs w:val="18"/>
        </w:rPr>
        <w:t>Zaznaczyć odpowiednie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upperRoman"/>
      <w:lvlText w:val="%1."/>
      <w:lvlJc w:val="right"/>
      <w:pPr>
        <w:ind w:left="1080" w:hanging="360"/>
      </w:pPr>
      <w:rPr>
        <w:b/>
      </w:rPr>
    </w:lvl>
    <w:lvl w:ilvl="1">
      <w:start w:val="1"/>
      <w:numFmt w:val="decimal"/>
      <w:lvlText w:val="%2."/>
      <w:lvlJc w:val="left"/>
      <w:pPr>
        <w:ind w:left="1800" w:hanging="360"/>
      </w:pPr>
    </w:lvl>
    <w:lvl w:ilvl="2">
      <w:start w:val="1"/>
      <w:numFmt w:val="decimal"/>
      <w:lvlText w:val="%3."/>
      <w:lvlJc w:val="left"/>
      <w:pPr>
        <w:ind w:left="2520" w:hanging="180"/>
      </w:pPr>
    </w:lvl>
    <w:lvl w:ilvl="3">
      <w:start w:val="1"/>
      <w:numFmt w:val="lowerLetter"/>
      <w:lvlText w:val="%4)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footnotePr>
    <w:numFmt w:val="decimal"/>
    <w:footnote w:id="0"/>
    <w:footnote w:id="1"/>
  </w:footnotePr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0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Zakotwiczenieprzypisudolnego">
    <w:name w:val="Zakotwiczenie przypisu dolnego"/>
    <w:rPr>
      <w:vertAlign w:val="superscript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>
      <w:color w:val="00000A"/>
    </w:rPr>
  </w:style>
  <w:style w:type="character" w:styleId="WW8Num7z2">
    <w:name w:val="WW8Num7z2"/>
    <w:qFormat/>
    <w:rPr>
      <w:b w:val="false"/>
      <w:i w:val="false"/>
    </w:rPr>
  </w:style>
  <w:style w:type="character" w:styleId="WW8Num7z1">
    <w:name w:val="WW8Num7z1"/>
    <w:qFormat/>
    <w:rPr>
      <w:rFonts w:ascii="Symbol" w:hAnsi="Symbol" w:eastAsia="Calibri"/>
      <w:b/>
      <w:color w:val="00000A"/>
      <w:sz w:val="22"/>
      <w:szCs w:val="22"/>
      <w:lang w:eastAsia="en-US"/>
    </w:rPr>
  </w:style>
  <w:style w:type="character" w:styleId="WW8Num7z0">
    <w:name w:val="WW8Num7z0"/>
    <w:qFormat/>
    <w:rPr>
      <w:rFonts w:ascii="Calibri" w:hAnsi="Calibri" w:eastAsia="Calibri"/>
      <w:b/>
      <w:bCs w:val="false"/>
      <w:color w:val="auto"/>
      <w:sz w:val="22"/>
      <w:szCs w:val="22"/>
      <w:lang w:eastAsia="en-US"/>
    </w:rPr>
  </w:style>
  <w:style w:type="character" w:styleId="PlaceholderText">
    <w:name w:val="Placeholder Text"/>
    <w:qFormat/>
    <w:rPr>
      <w:color w:val="808080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ematkomentarzaZnak">
    <w:name w:val="Temat komentarza Znak"/>
    <w:qFormat/>
    <w:rPr>
      <w:b/>
      <w:sz w:val="20"/>
    </w:rPr>
  </w:style>
  <w:style w:type="character" w:styleId="TekstkomentarzaZnak">
    <w:name w:val="Tekst komentarza Znak"/>
    <w:qFormat/>
    <w:rPr>
      <w:sz w:val="20"/>
    </w:rPr>
  </w:style>
  <w:style w:type="character" w:styleId="Annotationreference">
    <w:name w:val="annotation reference"/>
    <w:qFormat/>
    <w:rPr>
      <w:sz w:val="16"/>
    </w:rPr>
  </w:style>
  <w:style w:type="character" w:styleId="Nagwek3Znak">
    <w:name w:val="Nagłówek 3 Znak"/>
    <w:qFormat/>
    <w:rPr>
      <w:rFonts w:ascii="Cambria" w:hAnsi="Cambria"/>
      <w:b/>
      <w:bCs/>
      <w:color w:val="4F81BD"/>
    </w:rPr>
  </w:style>
  <w:style w:type="character" w:styleId="WW8Num1zfalse">
    <w:name w:val="WW8Num1zfalse"/>
    <w:qFormat/>
    <w:rPr/>
  </w:style>
  <w:style w:type="character" w:styleId="FootnoteCharacters">
    <w:name w:val="Footnote Characters"/>
    <w:qFormat/>
    <w:rPr>
      <w:vertAlign w:val="superscript"/>
    </w:rPr>
  </w:style>
  <w:style w:type="character" w:styleId="TekstprzypisudolnegoZnak">
    <w:name w:val="Tekst przypisu dolnego Znak"/>
    <w:qFormat/>
    <w:rPr>
      <w:sz w:val="20"/>
    </w:rPr>
  </w:style>
  <w:style w:type="character" w:styleId="EndnoteCharacters">
    <w:name w:val="Endnote Characters"/>
    <w:qFormat/>
    <w:rPr>
      <w:vertAlign w:val="superscript"/>
    </w:rPr>
  </w:style>
  <w:style w:type="character" w:styleId="TekstprzypisukocowegoZnak">
    <w:name w:val="Tekst przypisu końcowego Znak"/>
    <w:qFormat/>
    <w:rPr>
      <w:sz w:val="20"/>
    </w:rPr>
  </w:style>
  <w:style w:type="character" w:styleId="TekstdymkaZnak">
    <w:name w:val="Tekst dymka Znak"/>
    <w:qFormat/>
    <w:rPr>
      <w:rFonts w:ascii="Tahoma" w:hAnsi="Tahoma" w:eastAsia="Tahoma"/>
      <w:sz w:val="16"/>
      <w:szCs w:val="16"/>
    </w:rPr>
  </w:style>
  <w:style w:type="character" w:styleId="StopkaZnak">
    <w:name w:val="Stopka Znak"/>
    <w:qFormat/>
    <w:rPr/>
  </w:style>
  <w:style w:type="character" w:styleId="NagwekZnak">
    <w:name w:val="Nagłówek Znak"/>
    <w:qFormat/>
    <w:rPr/>
  </w:style>
  <w:style w:type="character" w:styleId="DefaultParagraphFont">
    <w:name w:val="Default Paragraph Font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Akapitzlist">
    <w:name w:val="Akapit z listą"/>
    <w:basedOn w:val="Normal"/>
    <w:qFormat/>
    <w:pPr>
      <w:ind w:left="720" w:hanging="0"/>
    </w:pPr>
    <w:rPr/>
  </w:style>
  <w:style w:type="paragraph" w:styleId="TOAHeading">
    <w:name w:val="TOA Heading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Lucida Sans" w:cs="Lucida Sans"/>
      <w:b/>
      <w:bCs/>
      <w:color w:val="auto"/>
      <w:kern w:val="2"/>
      <w:sz w:val="32"/>
      <w:szCs w:val="32"/>
      <w:lang w:val="pl-PL" w:eastAsia="ar-SA" w:bidi="hi-IN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Lohit Devanagari" w:cs="Liberation Serif"/>
      <w:color w:val="auto"/>
      <w:kern w:val="2"/>
      <w:sz w:val="24"/>
      <w:szCs w:val="24"/>
      <w:lang w:val="pl-PL" w:eastAsia="hi-IN" w:bidi="hi-IN"/>
    </w:rPr>
  </w:style>
  <w:style w:type="paragraph" w:styleId="Annotationsubject">
    <w:name w:val="annotation subject"/>
    <w:qFormat/>
    <w:pPr>
      <w:widowControl/>
      <w:suppressAutoHyphens w:val="true"/>
      <w:bidi w:val="0"/>
      <w:spacing w:lineRule="exact" w:line="240" w:before="0" w:after="0"/>
      <w:jc w:val="left"/>
    </w:pPr>
    <w:rPr>
      <w:rFonts w:ascii="Liberation Serif" w:hAnsi="Liberation Serif" w:eastAsia="SimSun" w:cs="Lucida Sans"/>
      <w:b/>
      <w:color w:val="auto"/>
      <w:kern w:val="2"/>
      <w:sz w:val="20"/>
      <w:szCs w:val="24"/>
      <w:lang w:val="pl-PL" w:eastAsia="zh-CN" w:bidi="hi-IN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</w:rPr>
  </w:style>
  <w:style w:type="paragraph" w:styleId="Normalny1">
    <w:name w:val="Normalny1"/>
    <w:basedOn w:val="Normal"/>
    <w:qFormat/>
    <w:pPr>
      <w:spacing w:lineRule="exact" w:line="240" w:before="0" w:after="0"/>
    </w:pPr>
    <w:rPr>
      <w:rFonts w:ascii="Times New Roman" w:hAnsi="Times New Roman" w:eastAsia="Mangal"/>
      <w:kern w:val="2"/>
      <w:lang w:eastAsia="hi-IN"/>
    </w:rPr>
  </w:style>
  <w:style w:type="paragraph" w:styleId="ListBullet2">
    <w:name w:val="List Bullet 2"/>
    <w:basedOn w:val="Normal"/>
    <w:qFormat/>
    <w:pPr>
      <w:spacing w:lineRule="exact" w:line="240" w:before="0" w:after="0"/>
      <w:ind w:left="566" w:hanging="283"/>
    </w:pPr>
    <w:rPr>
      <w:rFonts w:ascii="Times New Roman" w:hAnsi="Times New Roman" w:eastAsia="Mangal"/>
      <w:kern w:val="2"/>
      <w:lang w:eastAsia="hi-IN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eastAsia="Tahoma"/>
      <w:sz w:val="16"/>
      <w:szCs w:val="16"/>
      <w:lang w:eastAsia="ar-SA"/>
    </w:rPr>
  </w:style>
  <w:style w:type="paragraph" w:styleId="Caption">
    <w:name w:val="caption"/>
    <w:basedOn w:val="Normal"/>
    <w:qFormat/>
    <w:pPr>
      <w:spacing w:before="120" w:after="120"/>
    </w:pPr>
    <w:rPr>
      <w:rFonts w:eastAsia="Lucida Sans"/>
      <w:i/>
      <w:iCs/>
      <w:lang w:eastAsia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minaslupsk.pl/" TargetMode="Externa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320</TotalTime>
  <Application>LibreOffice/6.4.4.2$Windows_X86_64 LibreOffice_project/3d775be2011f3886db32dfd395a6a6d1ca2630ff</Application>
  <Pages>4</Pages>
  <Words>1185</Words>
  <Characters>7941</Characters>
  <CharactersWithSpaces>9055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2021-07-14T09:09:03Z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