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B" w:rsidRDefault="005D795B" w:rsidP="005D795B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Załącznik nr 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>7</w:t>
      </w:r>
      <w:r w:rsidR="001B203B">
        <w:rPr>
          <w:rFonts w:ascii="Times New Roman" w:hAnsi="Times New Roman" w:cs="Times New Roman"/>
          <w:b/>
          <w:i/>
          <w:color w:val="auto"/>
          <w:sz w:val="22"/>
          <w:szCs w:val="22"/>
        </w:rPr>
        <w:t>.1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do S</w:t>
      </w: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0020D7" w:rsidRPr="000020D7" w:rsidRDefault="000020D7" w:rsidP="000020D7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0020D7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3.1</w:t>
      </w:r>
      <w:r w:rsidRPr="000020D7">
        <w:rPr>
          <w:rFonts w:ascii="Times New Roman" w:eastAsiaTheme="majorEastAsia" w:hAnsi="Times New Roman"/>
          <w:b/>
          <w:i/>
        </w:rPr>
        <w:t xml:space="preserve"> do Umowy</w:t>
      </w:r>
    </w:p>
    <w:p w:rsidR="005D795B" w:rsidRPr="004913B7" w:rsidRDefault="005D795B" w:rsidP="000020D7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4913B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na dostawę systemu </w:t>
      </w:r>
      <w:r w:rsidR="000020D7">
        <w:rPr>
          <w:rFonts w:ascii="Times New Roman" w:hAnsi="Times New Roman" w:cs="Times New Roman"/>
          <w:b/>
          <w:i/>
          <w:color w:val="auto"/>
          <w:sz w:val="20"/>
          <w:szCs w:val="20"/>
        </w:rPr>
        <w:t>archiwizacji badań radiologicznych</w:t>
      </w:r>
    </w:p>
    <w:p w:rsidR="005D795B" w:rsidRPr="008B0F2D" w:rsidRDefault="005D795B" w:rsidP="000020D7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Nr sprawy Szp/FZ – 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>72/2021</w:t>
      </w:r>
    </w:p>
    <w:p w:rsidR="00780312" w:rsidRDefault="00780312" w:rsidP="00062BD8">
      <w:pPr>
        <w:suppressAutoHyphens w:val="0"/>
        <w:autoSpaceDE w:val="0"/>
        <w:adjustRightInd w:val="0"/>
        <w:spacing w:before="60" w:after="0" w:line="240" w:lineRule="auto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1B203B" w:rsidRPr="003E0E1A" w:rsidRDefault="003E0E1A" w:rsidP="001B203B">
      <w:pPr>
        <w:suppressAutoHyphens w:val="0"/>
        <w:autoSpaceDE w:val="0"/>
        <w:adjustRightInd w:val="0"/>
        <w:spacing w:before="60" w:after="0" w:line="240" w:lineRule="auto"/>
        <w:ind w:left="360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Szczegółowy opis licencji</w:t>
      </w:r>
      <w:r w:rsidR="001B203B" w:rsidRPr="003E0E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</w:t>
      </w:r>
      <w:r w:rsidR="00571239" w:rsidRPr="003E0E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oprogramowanie systemu </w:t>
      </w:r>
      <w:r w:rsidR="000020D7" w:rsidRPr="000020D7">
        <w:rPr>
          <w:rFonts w:ascii="Times New Roman" w:eastAsia="Times New Roman" w:hAnsi="Times New Roman"/>
          <w:b/>
          <w:i/>
          <w:u w:val="single"/>
          <w:lang w:eastAsia="pl-PL"/>
        </w:rPr>
        <w:t>archiwizacji badań radiologicznych</w:t>
      </w: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B203B">
        <w:rPr>
          <w:rFonts w:ascii="Times New Roman" w:eastAsia="Times New Roman" w:hAnsi="Times New Roman"/>
          <w:lang w:eastAsia="pl-PL"/>
        </w:rPr>
        <w:t xml:space="preserve">System </w:t>
      </w:r>
      <w:r w:rsidR="000020D7" w:rsidRPr="000020D7">
        <w:rPr>
          <w:rFonts w:ascii="Times New Roman" w:eastAsia="Times New Roman" w:hAnsi="Times New Roman"/>
          <w:lang w:eastAsia="pl-PL"/>
        </w:rPr>
        <w:t>archiwizacji badań radiologicznych</w:t>
      </w:r>
      <w:r w:rsidRPr="001B203B">
        <w:rPr>
          <w:rFonts w:ascii="Times New Roman" w:eastAsia="Times New Roman" w:hAnsi="Times New Roman"/>
          <w:lang w:eastAsia="pl-PL"/>
        </w:rPr>
        <w:t xml:space="preserve"> musi spełniać następujące wymogi:</w:t>
      </w: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191949" w:rsidRPr="000020D7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  <w:b/>
          <w:i/>
        </w:rPr>
        <w:t>Wymagania ogólne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współpracować z infrastrukturą </w:t>
      </w:r>
      <w:proofErr w:type="spellStart"/>
      <w:r w:rsidRPr="000020D7">
        <w:rPr>
          <w:rFonts w:ascii="Times New Roman" w:hAnsi="Times New Roman"/>
        </w:rPr>
        <w:t>VMware</w:t>
      </w:r>
      <w:proofErr w:type="spellEnd"/>
      <w:r w:rsidRPr="000020D7">
        <w:rPr>
          <w:rFonts w:ascii="Times New Roman" w:hAnsi="Times New Roman"/>
        </w:rPr>
        <w:t xml:space="preserve"> w wersji 4.x, 5.x, 6.x oraz Microsoft Hyper-V 2012, 2012 R2 i 2016. Wszystkie funkcjonalności w specyfikacji muszą być dostępne na wszystkich wspieranych platformach </w:t>
      </w:r>
      <w:proofErr w:type="spellStart"/>
      <w:r w:rsidRPr="000020D7">
        <w:rPr>
          <w:rFonts w:ascii="Times New Roman" w:hAnsi="Times New Roman"/>
        </w:rPr>
        <w:t>wirtualizacyjnych</w:t>
      </w:r>
      <w:proofErr w:type="spellEnd"/>
      <w:r w:rsidRPr="000020D7">
        <w:rPr>
          <w:rFonts w:ascii="Times New Roman" w:hAnsi="Times New Roman"/>
        </w:rPr>
        <w:t>, chyba że wyszczególniono inaczej.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współpracować z hostami zarządzanymi przez </w:t>
      </w:r>
      <w:proofErr w:type="spellStart"/>
      <w:r w:rsidRPr="000020D7">
        <w:rPr>
          <w:rFonts w:ascii="Times New Roman" w:hAnsi="Times New Roman"/>
        </w:rPr>
        <w:t>VMware</w:t>
      </w:r>
      <w:proofErr w:type="spellEnd"/>
      <w:r w:rsidRPr="000020D7">
        <w:rPr>
          <w:rFonts w:ascii="Times New Roman" w:hAnsi="Times New Roman"/>
        </w:rPr>
        <w:t xml:space="preserve"> </w:t>
      </w:r>
      <w:proofErr w:type="spellStart"/>
      <w:r w:rsidRPr="000020D7">
        <w:rPr>
          <w:rFonts w:ascii="Times New Roman" w:hAnsi="Times New Roman"/>
        </w:rPr>
        <w:t>vCenter</w:t>
      </w:r>
      <w:proofErr w:type="spellEnd"/>
      <w:r w:rsidRPr="000020D7">
        <w:rPr>
          <w:rFonts w:ascii="Times New Roman" w:hAnsi="Times New Roman"/>
        </w:rPr>
        <w:t xml:space="preserve"> oraz pojedynczymi hostami.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współpracować z hostami zarządzanymi przez System Center Virtual Machine Manager, klastrami hostów oraz pojedynczymi hostami.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tworzenie kopii zapasowych wszystkich systemów operacyjnych maszyn wirtualnych wspieranych przez </w:t>
      </w:r>
      <w:proofErr w:type="spellStart"/>
      <w:r w:rsidRPr="000020D7">
        <w:rPr>
          <w:rFonts w:ascii="Times New Roman" w:eastAsia="Arial Narrow" w:hAnsi="Times New Roman"/>
        </w:rPr>
        <w:t>vSphere</w:t>
      </w:r>
      <w:proofErr w:type="spellEnd"/>
      <w:r w:rsidRPr="000020D7">
        <w:rPr>
          <w:rFonts w:ascii="Times New Roman" w:eastAsia="Arial Narrow" w:hAnsi="Times New Roman"/>
        </w:rPr>
        <w:t xml:space="preserve"> i Hyper-V.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być licencjonowane w modelu “per-CPU”. Wszystkie funkcjonalności zawarte w tym dokumencie powinny być zapewnione w tej licencji. Jakiekolwiek dodatkowe licencjonowanie (per zabezpieczony TB, dodatkowo płatna </w:t>
      </w:r>
      <w:proofErr w:type="spellStart"/>
      <w:r w:rsidRPr="000020D7">
        <w:rPr>
          <w:rFonts w:ascii="Times New Roman" w:eastAsia="Arial Narrow" w:hAnsi="Times New Roman"/>
        </w:rPr>
        <w:t>deduplikacja</w:t>
      </w:r>
      <w:proofErr w:type="spellEnd"/>
      <w:r w:rsidRPr="000020D7">
        <w:rPr>
          <w:rFonts w:ascii="Times New Roman" w:eastAsia="Arial Narrow" w:hAnsi="Times New Roman"/>
        </w:rPr>
        <w:t>) nie jest dozwolone.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być niezależne sprzętowo i umożliwiać wykorzystanie dowolnej platformy serwerowej i dyskowej.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tworzyć “samowystarczalne” archiwa do odzyskania których nie wymagana jest osobna baza danych z metadanymi </w:t>
      </w:r>
      <w:proofErr w:type="spellStart"/>
      <w:r w:rsidRPr="000020D7">
        <w:rPr>
          <w:rFonts w:ascii="Times New Roman" w:eastAsia="Arial Narrow" w:hAnsi="Times New Roman"/>
        </w:rPr>
        <w:t>deduplikowanych</w:t>
      </w:r>
      <w:proofErr w:type="spellEnd"/>
      <w:r w:rsidRPr="000020D7">
        <w:rPr>
          <w:rFonts w:ascii="Times New Roman" w:eastAsia="Arial Narrow" w:hAnsi="Times New Roman"/>
        </w:rPr>
        <w:t xml:space="preserve"> bloków.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mieć mechanizmy </w:t>
      </w:r>
      <w:proofErr w:type="spellStart"/>
      <w:r w:rsidRPr="000020D7">
        <w:rPr>
          <w:rFonts w:ascii="Times New Roman" w:hAnsi="Times New Roman"/>
        </w:rPr>
        <w:t>deduplikacji</w:t>
      </w:r>
      <w:proofErr w:type="spellEnd"/>
      <w:r w:rsidRPr="000020D7">
        <w:rPr>
          <w:rFonts w:ascii="Times New Roman" w:hAnsi="Times New Roman"/>
        </w:rPr>
        <w:t xml:space="preserve"> i kompresji w celu zmniejszenia wielkości archiwów. Włączenie tych mechanizmów nie może skutkować utratą jakichkolwiek funkcjonalności wymienionych w tej specyfikacji.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nie może przechowywać danych o </w:t>
      </w:r>
      <w:proofErr w:type="spellStart"/>
      <w:r w:rsidRPr="000020D7">
        <w:rPr>
          <w:rFonts w:ascii="Times New Roman" w:eastAsia="Arial Narrow" w:hAnsi="Times New Roman"/>
        </w:rPr>
        <w:t>deduplikacji</w:t>
      </w:r>
      <w:proofErr w:type="spellEnd"/>
      <w:r w:rsidRPr="000020D7">
        <w:rPr>
          <w:rFonts w:ascii="Times New Roman" w:eastAsia="Arial Narrow" w:hAnsi="Times New Roman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0020D7">
        <w:rPr>
          <w:rFonts w:ascii="Times New Roman" w:eastAsia="Arial Narrow" w:hAnsi="Times New Roman"/>
        </w:rPr>
        <w:t>deduplikacji</w:t>
      </w:r>
      <w:proofErr w:type="spellEnd"/>
      <w:r w:rsidRPr="000020D7">
        <w:rPr>
          <w:rFonts w:ascii="Times New Roman" w:eastAsia="Arial Narrow" w:hAnsi="Times New Roman"/>
        </w:rPr>
        <w:t xml:space="preserve"> muszą być przechowywane w plikach backupu.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nie może instalować żadnych stałych agentów wymagających wdrożenia czy </w:t>
      </w:r>
      <w:proofErr w:type="spellStart"/>
      <w:r w:rsidRPr="000020D7">
        <w:rPr>
          <w:rFonts w:ascii="Times New Roman" w:eastAsia="Arial Narrow" w:hAnsi="Times New Roman"/>
        </w:rPr>
        <w:t>upgradowania</w:t>
      </w:r>
      <w:proofErr w:type="spellEnd"/>
      <w:r w:rsidRPr="000020D7">
        <w:rPr>
          <w:rFonts w:ascii="Times New Roman" w:eastAsia="Arial Narrow" w:hAnsi="Times New Roman"/>
        </w:rPr>
        <w:t xml:space="preserve"> wewnątrz maszyny wirtualnej dla jakichkolwiek funkcjonalności backupu lub odtwarzania.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backup jednoprzebiegowy - nawet w przypadku wymagania </w:t>
      </w:r>
      <w:proofErr w:type="spellStart"/>
      <w:r w:rsidRPr="000020D7">
        <w:rPr>
          <w:rFonts w:ascii="Times New Roman" w:eastAsia="Arial Narrow" w:hAnsi="Times New Roman"/>
        </w:rPr>
        <w:t>granularnego</w:t>
      </w:r>
      <w:proofErr w:type="spellEnd"/>
      <w:r w:rsidRPr="000020D7">
        <w:rPr>
          <w:rFonts w:ascii="Times New Roman" w:eastAsia="Arial Narrow" w:hAnsi="Times New Roman"/>
        </w:rPr>
        <w:t xml:space="preserve"> odtworzenia.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mechanizmy informowania o wykonaniu/błędzie zadania poprzez email lub SNMP. W środowisku </w:t>
      </w:r>
      <w:proofErr w:type="spellStart"/>
      <w:r w:rsidRPr="000020D7">
        <w:rPr>
          <w:rFonts w:ascii="Times New Roman" w:eastAsia="Arial Narrow" w:hAnsi="Times New Roman"/>
        </w:rPr>
        <w:t>VMware</w:t>
      </w:r>
      <w:proofErr w:type="spellEnd"/>
      <w:r w:rsidRPr="000020D7">
        <w:rPr>
          <w:rFonts w:ascii="Times New Roman" w:eastAsia="Arial Narrow" w:hAnsi="Times New Roman"/>
        </w:rPr>
        <w:t xml:space="preserve"> musi mieć możliwość aktualizacji pola „notatki” na wirtualnej maszynie.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mieć możliwość uruchamiania dowolnych skryptów przed i po zadaniu backupowym lub przed i po wykonaniu zadania </w:t>
      </w:r>
      <w:proofErr w:type="spellStart"/>
      <w:r w:rsidRPr="000020D7">
        <w:rPr>
          <w:rFonts w:ascii="Times New Roman" w:eastAsia="Arial Narrow" w:hAnsi="Times New Roman"/>
        </w:rPr>
        <w:t>snapshota</w:t>
      </w:r>
      <w:proofErr w:type="spellEnd"/>
      <w:r w:rsidRPr="000020D7">
        <w:rPr>
          <w:rFonts w:ascii="Times New Roman" w:eastAsia="Arial Narrow" w:hAnsi="Times New Roman"/>
        </w:rPr>
        <w:t xml:space="preserve"> w środowisku </w:t>
      </w:r>
      <w:proofErr w:type="spellStart"/>
      <w:r w:rsidRPr="000020D7">
        <w:rPr>
          <w:rFonts w:ascii="Times New Roman" w:eastAsia="Arial Narrow" w:hAnsi="Times New Roman"/>
        </w:rPr>
        <w:t>VMware</w:t>
      </w:r>
      <w:proofErr w:type="spellEnd"/>
      <w:r w:rsidRPr="000020D7">
        <w:rPr>
          <w:rFonts w:ascii="Times New Roman" w:eastAsia="Arial Narrow" w:hAnsi="Times New Roman"/>
        </w:rPr>
        <w:t>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mieć wbudowane mechanizmy backupu konfiguracji w celu prostego odtworzenia systemu po całkowitej </w:t>
      </w:r>
      <w:proofErr w:type="spellStart"/>
      <w:r w:rsidRPr="000020D7">
        <w:rPr>
          <w:rFonts w:ascii="Times New Roman" w:hAnsi="Times New Roman"/>
        </w:rPr>
        <w:t>reinstalacji</w:t>
      </w:r>
      <w:proofErr w:type="spellEnd"/>
      <w:r w:rsidRPr="000020D7">
        <w:rPr>
          <w:rFonts w:ascii="Times New Roman" w:hAnsi="Times New Roman"/>
        </w:rPr>
        <w:t>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mieć wbudowane mechanizmy szyfrowania zarówno plików z backupami jak i transmisji sieciowej. Włączenie szyfrowania nie może skutkować utratą jakiejkolwiek funkcjonalności wymienionej w tej specyfikacji.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wspierać backup maszyn wirtualnych używających współdzielonych dysków VHDX na Hyper-V (</w:t>
      </w:r>
      <w:proofErr w:type="spellStart"/>
      <w:r w:rsidRPr="000020D7">
        <w:rPr>
          <w:rFonts w:ascii="Times New Roman" w:eastAsia="Arial Narrow" w:hAnsi="Times New Roman"/>
        </w:rPr>
        <w:t>shared</w:t>
      </w:r>
      <w:proofErr w:type="spellEnd"/>
      <w:r w:rsidRPr="000020D7">
        <w:rPr>
          <w:rFonts w:ascii="Times New Roman" w:eastAsia="Arial Narrow" w:hAnsi="Times New Roman"/>
        </w:rPr>
        <w:t xml:space="preserve"> VHDX).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posiadać architekturę klient/serwer z możliwością instalacji wielu instancji konsoli administracyjnych.</w:t>
      </w:r>
    </w:p>
    <w:p w:rsidR="00191949" w:rsidRPr="002B11AB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357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7B0B8F">
        <w:rPr>
          <w:rFonts w:ascii="Times New Roman" w:eastAsia="Arial Narrow" w:hAnsi="Times New Roman"/>
          <w:b/>
          <w:i/>
        </w:rPr>
        <w:lastRenderedPageBreak/>
        <w:t>Wymagania RPO (</w:t>
      </w:r>
      <w:proofErr w:type="spellStart"/>
      <w:r w:rsidRPr="007B0B8F">
        <w:rPr>
          <w:rFonts w:ascii="Times New Roman" w:eastAsia="Arial Narrow" w:hAnsi="Times New Roman"/>
          <w:b/>
          <w:i/>
          <w:iCs/>
        </w:rPr>
        <w:t>recovery</w:t>
      </w:r>
      <w:proofErr w:type="spellEnd"/>
      <w:r w:rsidRPr="007B0B8F">
        <w:rPr>
          <w:rFonts w:ascii="Times New Roman" w:eastAsia="Arial Narrow" w:hAnsi="Times New Roman"/>
          <w:b/>
          <w:i/>
          <w:iCs/>
        </w:rPr>
        <w:t xml:space="preserve"> point </w:t>
      </w:r>
      <w:proofErr w:type="spellStart"/>
      <w:r w:rsidRPr="007B0B8F">
        <w:rPr>
          <w:rFonts w:ascii="Times New Roman" w:eastAsia="Arial Narrow" w:hAnsi="Times New Roman"/>
          <w:b/>
          <w:i/>
          <w:iCs/>
        </w:rPr>
        <w:t>objective</w:t>
      </w:r>
      <w:proofErr w:type="spellEnd"/>
      <w:r w:rsidRPr="007B0B8F">
        <w:rPr>
          <w:rFonts w:ascii="Times New Roman" w:eastAsia="Arial Narrow" w:hAnsi="Times New Roman"/>
          <w:b/>
          <w:i/>
          <w:iCs/>
        </w:rPr>
        <w:t xml:space="preserve">) - </w:t>
      </w:r>
      <w:r w:rsidRPr="007B0B8F">
        <w:rPr>
          <w:rFonts w:ascii="Times New Roman" w:eastAsia="Arial Narrow" w:hAnsi="Times New Roman"/>
          <w:b/>
          <w:i/>
        </w:rPr>
        <w:t>czas w jakim należy przywrócić procesy po wystąpieniu awarii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wykorzystywać mechanizmy </w:t>
      </w:r>
      <w:proofErr w:type="spellStart"/>
      <w:r w:rsidRPr="00697F12">
        <w:rPr>
          <w:rFonts w:ascii="Times New Roman" w:eastAsia="Arial Narrow" w:hAnsi="Times New Roman"/>
        </w:rPr>
        <w:t>Change</w:t>
      </w:r>
      <w:proofErr w:type="spellEnd"/>
      <w:r w:rsidRPr="00697F12">
        <w:rPr>
          <w:rFonts w:ascii="Times New Roman" w:eastAsia="Arial Narrow" w:hAnsi="Times New Roman"/>
        </w:rPr>
        <w:t xml:space="preserve"> Block </w:t>
      </w:r>
      <w:proofErr w:type="spellStart"/>
      <w:r w:rsidRPr="00697F12">
        <w:rPr>
          <w:rFonts w:ascii="Times New Roman" w:eastAsia="Arial Narrow" w:hAnsi="Times New Roman"/>
        </w:rPr>
        <w:t>Tracking</w:t>
      </w:r>
      <w:proofErr w:type="spellEnd"/>
      <w:r w:rsidRPr="00697F12">
        <w:rPr>
          <w:rFonts w:ascii="Times New Roman" w:eastAsia="Arial Narrow" w:hAnsi="Times New Roman"/>
        </w:rPr>
        <w:t xml:space="preserve"> na wszystkich wspieranych platformach </w:t>
      </w:r>
      <w:proofErr w:type="spellStart"/>
      <w:r w:rsidRPr="00697F12">
        <w:rPr>
          <w:rFonts w:ascii="Times New Roman" w:eastAsia="Arial Narrow" w:hAnsi="Times New Roman"/>
        </w:rPr>
        <w:t>wirtualizacyjnych</w:t>
      </w:r>
      <w:proofErr w:type="spellEnd"/>
      <w:r w:rsidRPr="00697F12">
        <w:rPr>
          <w:rFonts w:ascii="Times New Roman" w:eastAsia="Arial Narrow" w:hAnsi="Times New Roman"/>
        </w:rPr>
        <w:t xml:space="preserve">. Mechanizmy muszą być certyfikowane przez dostawcę platformy </w:t>
      </w:r>
      <w:proofErr w:type="spellStart"/>
      <w:r w:rsidRPr="00697F12">
        <w:rPr>
          <w:rFonts w:ascii="Times New Roman" w:eastAsia="Arial Narrow" w:hAnsi="Times New Roman"/>
        </w:rPr>
        <w:t>wirtualizacyjnej</w:t>
      </w:r>
      <w:proofErr w:type="spellEnd"/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automatycznie wykrywać i usuwać </w:t>
      </w:r>
      <w:proofErr w:type="spellStart"/>
      <w:r w:rsidRPr="00697F12">
        <w:rPr>
          <w:rFonts w:ascii="Times New Roman" w:eastAsia="Arial Narrow" w:hAnsi="Times New Roman"/>
        </w:rPr>
        <w:t>snapshoty</w:t>
      </w:r>
      <w:proofErr w:type="spellEnd"/>
      <w:r w:rsidRPr="00697F12">
        <w:rPr>
          <w:rFonts w:ascii="Times New Roman" w:eastAsia="Arial Narrow" w:hAnsi="Times New Roman"/>
        </w:rPr>
        <w:t>-sieroty (</w:t>
      </w:r>
      <w:proofErr w:type="spellStart"/>
      <w:r w:rsidRPr="00697F12">
        <w:rPr>
          <w:rFonts w:ascii="Times New Roman" w:eastAsia="Arial Narrow" w:hAnsi="Times New Roman"/>
        </w:rPr>
        <w:t>orphaned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proofErr w:type="spellStart"/>
      <w:r w:rsidRPr="00697F12">
        <w:rPr>
          <w:rFonts w:ascii="Times New Roman" w:eastAsia="Arial Narrow" w:hAnsi="Times New Roman"/>
        </w:rPr>
        <w:t>snapshots</w:t>
      </w:r>
      <w:proofErr w:type="spellEnd"/>
      <w:r w:rsidRPr="00697F12">
        <w:rPr>
          <w:rFonts w:ascii="Times New Roman" w:eastAsia="Arial Narrow" w:hAnsi="Times New Roman"/>
        </w:rPr>
        <w:t>), które mogą zakłócić poprawne wykonanie backupu. Proces ten nie może wymagać interakcji administratora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hAnsi="Times New Roman"/>
        </w:rPr>
        <w:t>Oprogramowanie musi wspierać kopiowanie plików na taśmy</w:t>
      </w:r>
      <w:r>
        <w:rPr>
          <w:rFonts w:ascii="Times New Roman" w:hAnsi="Times New Roman"/>
        </w:rPr>
        <w:t>.</w:t>
      </w:r>
    </w:p>
    <w:p w:rsidR="0019194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Oprogramowanie musi obsługiwać urządzenia taśmowe i dyskowe, </w:t>
      </w:r>
      <w:proofErr w:type="spellStart"/>
      <w:r>
        <w:rPr>
          <w:rFonts w:ascii="Times New Roman" w:eastAsia="Times New Roman" w:hAnsi="Times New Roman"/>
          <w:lang w:eastAsia="pl-PL"/>
        </w:rPr>
        <w:t>slużące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do przechowywania kopii zapasowych archiwizacji danych.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mieć możliwość wydzielenia osobnej roli typu </w:t>
      </w:r>
      <w:proofErr w:type="spellStart"/>
      <w:r w:rsidRPr="00697F12">
        <w:rPr>
          <w:rFonts w:ascii="Times New Roman" w:eastAsia="Arial Narrow" w:hAnsi="Times New Roman"/>
        </w:rPr>
        <w:t>tape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>Server.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mieć możliwość kopiowania backupów do lokalizacji zdalnej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mieć możliwość tworzenia retencji GFS (</w:t>
      </w:r>
      <w:proofErr w:type="spellStart"/>
      <w:r w:rsidRPr="00697F12">
        <w:rPr>
          <w:rFonts w:ascii="Times New Roman" w:eastAsia="Arial Narrow" w:hAnsi="Times New Roman"/>
        </w:rPr>
        <w:t>Grandfather-Father-Son</w:t>
      </w:r>
      <w:proofErr w:type="spellEnd"/>
      <w:r w:rsidRPr="00697F12">
        <w:rPr>
          <w:rFonts w:ascii="Times New Roman" w:eastAsia="Arial Narrow" w:hAnsi="Times New Roman"/>
        </w:rPr>
        <w:t>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697F12">
        <w:rPr>
          <w:rFonts w:ascii="Times New Roman" w:eastAsia="Arial Narrow" w:hAnsi="Times New Roman"/>
        </w:rPr>
        <w:t>BlockClone</w:t>
      </w:r>
      <w:proofErr w:type="spellEnd"/>
      <w:r w:rsidRPr="00697F12">
        <w:rPr>
          <w:rFonts w:ascii="Times New Roman" w:eastAsia="Arial Narrow" w:hAnsi="Times New Roman"/>
        </w:rPr>
        <w:t xml:space="preserve"> API w przypadku użycia Windows Server 2016 z systemem pliku </w:t>
      </w:r>
      <w:proofErr w:type="spellStart"/>
      <w:r w:rsidRPr="00697F12">
        <w:rPr>
          <w:rFonts w:ascii="Times New Roman" w:eastAsia="Arial Narrow" w:hAnsi="Times New Roman"/>
        </w:rPr>
        <w:t>ReFS</w:t>
      </w:r>
      <w:proofErr w:type="spellEnd"/>
      <w:r w:rsidRPr="00697F12">
        <w:rPr>
          <w:rFonts w:ascii="Times New Roman" w:eastAsia="Arial Narrow" w:hAnsi="Times New Roman"/>
        </w:rPr>
        <w:t xml:space="preserve"> jako repozytorium backupu.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mieć możliwość replikacji włączonych wirtualnych maszyn bezpośrednio z infrastruktury </w:t>
      </w:r>
      <w:proofErr w:type="spellStart"/>
      <w:r w:rsidRPr="00697F12">
        <w:rPr>
          <w:rFonts w:ascii="Times New Roman" w:eastAsia="Arial Narrow" w:hAnsi="Times New Roman"/>
        </w:rPr>
        <w:t>VMware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proofErr w:type="spellStart"/>
      <w:r w:rsidRPr="00697F12">
        <w:rPr>
          <w:rFonts w:ascii="Times New Roman" w:eastAsia="Arial Narrow" w:hAnsi="Times New Roman"/>
        </w:rPr>
        <w:t>vSphere</w:t>
      </w:r>
      <w:proofErr w:type="spellEnd"/>
      <w:r w:rsidRPr="00697F12">
        <w:rPr>
          <w:rFonts w:ascii="Times New Roman" w:eastAsia="Arial Narrow" w:hAnsi="Times New Roman"/>
        </w:rPr>
        <w:t xml:space="preserve">, pomiędzy hostami </w:t>
      </w:r>
      <w:proofErr w:type="spellStart"/>
      <w:r w:rsidRPr="00697F12">
        <w:rPr>
          <w:rFonts w:ascii="Times New Roman" w:eastAsia="Arial Narrow" w:hAnsi="Times New Roman"/>
        </w:rPr>
        <w:t>ESXi</w:t>
      </w:r>
      <w:proofErr w:type="spellEnd"/>
      <w:r w:rsidRPr="00697F12">
        <w:rPr>
          <w:rFonts w:ascii="Times New Roman" w:eastAsia="Arial Narrow" w:hAnsi="Times New Roman"/>
        </w:rPr>
        <w:t>, włączając asynchroniczną replikacją ciągłą. Dodatkowo oprogramowanie musi mieć możliwość użycia plików kopii zapasowych jako źródła replikacji.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umożliwiać przechowywanie punktów przywracania dla replik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hAnsi="Times New Roman"/>
        </w:rPr>
        <w:t>Oprogramowanie musi umożliwiać wykorzystanie istniejących w infrastrukturze wirtualnych maszyn jako źródła do dalszej replikacji (</w:t>
      </w:r>
      <w:proofErr w:type="spellStart"/>
      <w:r w:rsidRPr="00697F12">
        <w:rPr>
          <w:rFonts w:ascii="Times New Roman" w:hAnsi="Times New Roman"/>
        </w:rPr>
        <w:t>replica</w:t>
      </w:r>
      <w:proofErr w:type="spellEnd"/>
      <w:r w:rsidRPr="00697F12">
        <w:rPr>
          <w:rFonts w:ascii="Times New Roman" w:hAnsi="Times New Roman"/>
        </w:rPr>
        <w:t xml:space="preserve"> </w:t>
      </w:r>
      <w:proofErr w:type="spellStart"/>
      <w:r w:rsidRPr="00697F12">
        <w:rPr>
          <w:rFonts w:ascii="Times New Roman" w:hAnsi="Times New Roman"/>
        </w:rPr>
        <w:t>seeding</w:t>
      </w:r>
      <w:proofErr w:type="spellEnd"/>
      <w:r w:rsidRPr="00697F1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posiadać takie same funkcjonalności replikacji dla Hyper-V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 xml:space="preserve">Oprogramowanie musi wykorzystywać wszystkie oferowane przez </w:t>
      </w:r>
      <w:proofErr w:type="spellStart"/>
      <w:r w:rsidRPr="00B70FCC">
        <w:rPr>
          <w:rFonts w:ascii="Times New Roman" w:eastAsia="Arial Narrow" w:hAnsi="Times New Roman"/>
        </w:rPr>
        <w:t>hypervisor</w:t>
      </w:r>
      <w:proofErr w:type="spellEnd"/>
      <w:r w:rsidRPr="00B70FCC">
        <w:rPr>
          <w:rFonts w:ascii="Times New Roman" w:eastAsia="Arial Narrow" w:hAnsi="Times New Roman"/>
        </w:rPr>
        <w:t xml:space="preserve"> tryby transportu (sieć, hot-</w:t>
      </w:r>
      <w:proofErr w:type="spellStart"/>
      <w:r w:rsidRPr="00B70FCC">
        <w:rPr>
          <w:rFonts w:ascii="Times New Roman" w:eastAsia="Arial Narrow" w:hAnsi="Times New Roman"/>
        </w:rPr>
        <w:t>add</w:t>
      </w:r>
      <w:proofErr w:type="spellEnd"/>
      <w:r w:rsidRPr="00B70FCC">
        <w:rPr>
          <w:rFonts w:ascii="Times New Roman" w:eastAsia="Arial Narrow" w:hAnsi="Times New Roman"/>
        </w:rPr>
        <w:t xml:space="preserve">, LAN </w:t>
      </w:r>
      <w:proofErr w:type="spellStart"/>
      <w:r w:rsidRPr="00B70FCC">
        <w:rPr>
          <w:rFonts w:ascii="Times New Roman" w:eastAsia="Arial Narrow" w:hAnsi="Times New Roman"/>
        </w:rPr>
        <w:t>Free</w:t>
      </w:r>
      <w:proofErr w:type="spellEnd"/>
      <w:r w:rsidRPr="00B70FCC">
        <w:rPr>
          <w:rFonts w:ascii="Times New Roman" w:eastAsia="Arial Narrow" w:hAnsi="Times New Roman"/>
        </w:rPr>
        <w:t>-SAN)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>Oprogramowanie musi dawać możliwość tworzenia backupów ad-hoc z konsoli jak i z klienta webowego vSphere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>Oprogramowanie musi przetwarzać wiele wirtualnych dysków jednocześnie (</w:t>
      </w:r>
      <w:proofErr w:type="spellStart"/>
      <w:r w:rsidRPr="00B70FCC">
        <w:rPr>
          <w:rFonts w:ascii="Times New Roman" w:eastAsia="Arial Narrow" w:hAnsi="Times New Roman"/>
        </w:rPr>
        <w:t>parallel</w:t>
      </w:r>
      <w:proofErr w:type="spellEnd"/>
      <w:r w:rsidRPr="00B70FCC">
        <w:rPr>
          <w:rFonts w:ascii="Times New Roman" w:eastAsia="Arial Narrow" w:hAnsi="Times New Roman"/>
        </w:rPr>
        <w:t xml:space="preserve"> </w:t>
      </w:r>
      <w:proofErr w:type="spellStart"/>
      <w:r w:rsidRPr="00B70FCC">
        <w:rPr>
          <w:rFonts w:ascii="Times New Roman" w:eastAsia="Arial Narrow" w:hAnsi="Times New Roman"/>
        </w:rPr>
        <w:t>processing</w:t>
      </w:r>
      <w:proofErr w:type="spellEnd"/>
      <w:r w:rsidRPr="00B70FCC">
        <w:rPr>
          <w:rFonts w:ascii="Times New Roman" w:eastAsia="Arial Narrow" w:hAnsi="Times New Roman"/>
        </w:rPr>
        <w:t>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357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  <w:b/>
          <w:i/>
        </w:rPr>
        <w:t>Wymagania RTO (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recovery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 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time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 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objective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) - </w:t>
      </w:r>
      <w:r w:rsidRPr="00B70FCC">
        <w:rPr>
          <w:rFonts w:ascii="Times New Roman" w:eastAsia="Arial Narrow" w:hAnsi="Times New Roman"/>
          <w:b/>
          <w:i/>
        </w:rPr>
        <w:t>akceptowalny poziom utraty danych wyrażony w czasie</w:t>
      </w:r>
      <w:r>
        <w:rPr>
          <w:rFonts w:ascii="Times New Roman" w:eastAsia="Arial Narrow" w:hAnsi="Times New Roman"/>
          <w:b/>
          <w:i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 xml:space="preserve">Oprogramowanie musi umożliwić uruchomienie wielu maszyn wirtualnych bezpośrednio ze </w:t>
      </w:r>
      <w:proofErr w:type="spellStart"/>
      <w:r w:rsidRPr="00B70FCC">
        <w:rPr>
          <w:rFonts w:ascii="Times New Roman" w:eastAsia="Arial Narrow" w:hAnsi="Times New Roman"/>
        </w:rPr>
        <w:t>zdeduplikowanego</w:t>
      </w:r>
      <w:proofErr w:type="spellEnd"/>
      <w:r w:rsidRPr="00B70FCC">
        <w:rPr>
          <w:rFonts w:ascii="Times New Roman" w:eastAsia="Arial Narrow" w:hAnsi="Times New Roman"/>
        </w:rPr>
        <w:t xml:space="preserve"> i skompresowanego pliku backupu, z dowolnego punktu przywracania, bez potrzeby kopiowania jej na </w:t>
      </w:r>
      <w:proofErr w:type="spellStart"/>
      <w:r w:rsidRPr="00B70FCC">
        <w:rPr>
          <w:rFonts w:ascii="Times New Roman" w:eastAsia="Arial Narrow" w:hAnsi="Times New Roman"/>
        </w:rPr>
        <w:t>storage</w:t>
      </w:r>
      <w:proofErr w:type="spellEnd"/>
      <w:r w:rsidRPr="00B70FCC">
        <w:rPr>
          <w:rFonts w:ascii="Times New Roman" w:eastAsia="Arial Narrow" w:hAnsi="Times New Roman"/>
        </w:rPr>
        <w:t xml:space="preserve"> produkcyjny. Funkcjonalność musi być oferowana niezależnie od rodzaju </w:t>
      </w:r>
      <w:proofErr w:type="spellStart"/>
      <w:r w:rsidRPr="00B70FCC">
        <w:rPr>
          <w:rFonts w:ascii="Times New Roman" w:eastAsia="Arial Narrow" w:hAnsi="Times New Roman"/>
        </w:rPr>
        <w:t>storage’u</w:t>
      </w:r>
      <w:proofErr w:type="spellEnd"/>
      <w:r w:rsidRPr="00B70FCC">
        <w:rPr>
          <w:rFonts w:ascii="Times New Roman" w:eastAsia="Arial Narrow" w:hAnsi="Times New Roman"/>
        </w:rPr>
        <w:t xml:space="preserve"> użytego do przechowywania kopii zapasowych. Dla </w:t>
      </w:r>
      <w:proofErr w:type="spellStart"/>
      <w:r w:rsidRPr="00B70FCC">
        <w:rPr>
          <w:rFonts w:ascii="Times New Roman" w:eastAsia="Arial Narrow" w:hAnsi="Times New Roman"/>
        </w:rPr>
        <w:t>srodowiska</w:t>
      </w:r>
      <w:proofErr w:type="spellEnd"/>
      <w:r w:rsidRPr="00B70FCC">
        <w:rPr>
          <w:rFonts w:ascii="Times New Roman" w:eastAsia="Arial Narrow" w:hAnsi="Times New Roman"/>
        </w:rPr>
        <w:t xml:space="preserve"> </w:t>
      </w:r>
      <w:proofErr w:type="spellStart"/>
      <w:r w:rsidRPr="00B70FCC">
        <w:rPr>
          <w:rFonts w:ascii="Times New Roman" w:eastAsia="Arial Narrow" w:hAnsi="Times New Roman"/>
        </w:rPr>
        <w:t>vSphere</w:t>
      </w:r>
      <w:proofErr w:type="spellEnd"/>
      <w:r w:rsidRPr="00B70FCC">
        <w:rPr>
          <w:rFonts w:ascii="Times New Roman" w:eastAsia="Arial Narrow" w:hAnsi="Times New Roman"/>
        </w:rPr>
        <w:t xml:space="preserve"> powinien być wykorzystany wbudowany w oprogramowanie serwer NFS. Dla Hyper-V powinna być zapewniona taka sama funkcjonalność realizowana wewnętrznymi mechanizmami oprogramowania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 xml:space="preserve">Oprogramowanie musi pozwalać na migrację on-line tak uruchomionych maszyn na </w:t>
      </w:r>
      <w:proofErr w:type="spellStart"/>
      <w:r w:rsidRPr="003F5D62">
        <w:rPr>
          <w:rFonts w:ascii="Times New Roman" w:eastAsia="Arial Narrow" w:hAnsi="Times New Roman"/>
        </w:rPr>
        <w:t>storage</w:t>
      </w:r>
      <w:proofErr w:type="spellEnd"/>
      <w:r w:rsidRPr="003F5D62">
        <w:rPr>
          <w:rFonts w:ascii="Times New Roman" w:eastAsia="Arial Narrow" w:hAnsi="Times New Roman"/>
        </w:rPr>
        <w:t xml:space="preserve"> produkcyjny. Migracja powinna odbywać się mechanizmami wbudowanymi w </w:t>
      </w:r>
      <w:proofErr w:type="spellStart"/>
      <w:r w:rsidRPr="003F5D62">
        <w:rPr>
          <w:rFonts w:ascii="Times New Roman" w:eastAsia="Arial Narrow" w:hAnsi="Times New Roman"/>
        </w:rPr>
        <w:t>hypervisor</w:t>
      </w:r>
      <w:proofErr w:type="spellEnd"/>
      <w:r w:rsidRPr="003F5D62">
        <w:rPr>
          <w:rFonts w:ascii="Times New Roman" w:eastAsia="Arial Narrow" w:hAnsi="Times New Roman"/>
        </w:rPr>
        <w:t xml:space="preserve">. Jeżeli licencja na </w:t>
      </w:r>
      <w:proofErr w:type="spellStart"/>
      <w:r w:rsidRPr="003F5D62">
        <w:rPr>
          <w:rFonts w:ascii="Times New Roman" w:eastAsia="Arial Narrow" w:hAnsi="Times New Roman"/>
        </w:rPr>
        <w:t>hypervisor</w:t>
      </w:r>
      <w:proofErr w:type="spellEnd"/>
      <w:r w:rsidRPr="003F5D62">
        <w:rPr>
          <w:rFonts w:ascii="Times New Roman" w:eastAsia="Arial Narrow" w:hAnsi="Times New Roman"/>
        </w:rPr>
        <w:t xml:space="preserve"> nie posiada takich funkcjonalności - opr</w:t>
      </w:r>
      <w:r>
        <w:rPr>
          <w:rFonts w:ascii="Times New Roman" w:eastAsia="Arial Narrow" w:hAnsi="Times New Roman"/>
        </w:rPr>
        <w:t>ogramowanie musi realizować t</w:t>
      </w:r>
      <w:r w:rsidRPr="003F5D62">
        <w:rPr>
          <w:rFonts w:ascii="Times New Roman" w:eastAsia="Arial Narrow" w:hAnsi="Times New Roman"/>
        </w:rPr>
        <w:t>aką migrację swoimi mechanizmami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hAnsi="Times New Roman"/>
        </w:rPr>
        <w:t>Oprogramowanie musi umożliwiać pełne odtworzenie wirtualnej maszyny, plików konfiguracji i dysków</w:t>
      </w:r>
      <w:r>
        <w:rPr>
          <w:rFonts w:ascii="Times New Roman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 xml:space="preserve">Oprogramowanie musi mieć możliwość odtworzenia plików bezpośrednio do maszyny wirtualnej poprzez sieć, przy pomocy VIX API dla platformy </w:t>
      </w:r>
      <w:proofErr w:type="spellStart"/>
      <w:r w:rsidRPr="003F5D62">
        <w:rPr>
          <w:rFonts w:ascii="Times New Roman" w:eastAsia="Arial Narrow" w:hAnsi="Times New Roman"/>
        </w:rPr>
        <w:t>VMware</w:t>
      </w:r>
      <w:proofErr w:type="spellEnd"/>
      <w:r w:rsidRPr="003F5D62">
        <w:rPr>
          <w:rFonts w:ascii="Times New Roman" w:eastAsia="Arial Narrow" w:hAnsi="Times New Roman"/>
        </w:rPr>
        <w:t xml:space="preserve"> i PowerShell Direct dla platformy Hyper-V.</w:t>
      </w:r>
    </w:p>
    <w:p w:rsidR="0019194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Oprogramowanie musi wspierać odtwarzania plików z następujących systemów plików: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 xml:space="preserve">Linux (ext, ext2, ext3, ext4, </w:t>
      </w:r>
      <w:proofErr w:type="spellStart"/>
      <w:r>
        <w:rPr>
          <w:rFonts w:ascii="Times New Roman" w:eastAsia="Times New Roman" w:hAnsi="Times New Roman"/>
          <w:lang w:val="en-US" w:eastAsia="pl-PL"/>
        </w:rPr>
        <w:t>ReiserFS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, Reiser3, JFS, XFS, </w:t>
      </w:r>
      <w:proofErr w:type="spellStart"/>
      <w:r>
        <w:rPr>
          <w:rFonts w:ascii="Times New Roman" w:eastAsia="Times New Roman" w:hAnsi="Times New Roman"/>
          <w:lang w:val="en-US" w:eastAsia="pl-PL"/>
        </w:rPr>
        <w:t>Btrfs</w:t>
      </w:r>
      <w:proofErr w:type="spellEnd"/>
      <w:r>
        <w:rPr>
          <w:rFonts w:ascii="Times New Roman" w:eastAsia="Times New Roman" w:hAnsi="Times New Roman"/>
          <w:lang w:val="en-US" w:eastAsia="pl-PL"/>
        </w:rPr>
        <w:t>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BSD (UFS, UFS2)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Solaris (ZFS, UFS)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Mac (HFS, HFS+)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 xml:space="preserve">Windows (NTFS, FAT, FAT32, </w:t>
      </w:r>
      <w:proofErr w:type="spellStart"/>
      <w:r>
        <w:rPr>
          <w:rFonts w:ascii="Times New Roman" w:eastAsia="Times New Roman" w:hAnsi="Times New Roman"/>
          <w:lang w:val="en-US" w:eastAsia="pl-PL"/>
        </w:rPr>
        <w:t>ReFS</w:t>
      </w:r>
      <w:proofErr w:type="spellEnd"/>
      <w:r>
        <w:rPr>
          <w:rFonts w:ascii="Times New Roman" w:eastAsia="Times New Roman" w:hAnsi="Times New Roman"/>
          <w:lang w:val="en-US" w:eastAsia="pl-PL"/>
        </w:rPr>
        <w:t>)</w:t>
      </w:r>
    </w:p>
    <w:p w:rsidR="00191949" w:rsidRPr="00215B7B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Novell OES (NSS)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lastRenderedPageBreak/>
        <w:t xml:space="preserve">Oprogramowanie musi wspierać przywracanie plików z partycji Linux LVM oraz Windows Storage </w:t>
      </w:r>
      <w:proofErr w:type="spellStart"/>
      <w:r w:rsidRPr="00315419">
        <w:rPr>
          <w:rFonts w:ascii="Times New Roman" w:eastAsia="Arial Narrow" w:hAnsi="Times New Roman"/>
        </w:rPr>
        <w:t>Spaces</w:t>
      </w:r>
      <w:proofErr w:type="spellEnd"/>
      <w:r w:rsidRPr="00315419"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umożliwiać szybkie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obiektów aplikacji bez użycia jakiegokolwiek agenta zainstalowanego wewnątrz maszyny wirtualnej.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obiektów Active Directory takich jak konta komputerów, konta użytkowników, grupy oraz pozwalać na odtworzenie haseł.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</w:t>
      </w:r>
      <w:r>
        <w:rPr>
          <w:rFonts w:ascii="Times New Roman" w:eastAsia="Arial Narrow" w:hAnsi="Times New Roman"/>
        </w:rPr>
        <w:t>warzanie Microsoft Exchange 2013</w:t>
      </w:r>
      <w:r w:rsidRPr="00315419">
        <w:rPr>
          <w:rFonts w:ascii="Times New Roman" w:eastAsia="Arial Narrow" w:hAnsi="Times New Roman"/>
        </w:rPr>
        <w:t xml:space="preserve"> i nowszych (dowolny obiekt w tym obiekty w folderze "</w:t>
      </w:r>
      <w:proofErr w:type="spellStart"/>
      <w:r w:rsidRPr="00315419">
        <w:rPr>
          <w:rFonts w:ascii="Times New Roman" w:eastAsia="Arial Narrow" w:hAnsi="Times New Roman"/>
        </w:rPr>
        <w:t>Permanently</w:t>
      </w:r>
      <w:proofErr w:type="spellEnd"/>
      <w:r w:rsidRPr="00315419">
        <w:rPr>
          <w:rFonts w:ascii="Times New Roman" w:eastAsia="Arial Narrow" w:hAnsi="Times New Roman"/>
        </w:rPr>
        <w:t xml:space="preserve"> </w:t>
      </w:r>
      <w:proofErr w:type="spellStart"/>
      <w:r w:rsidRPr="00315419">
        <w:rPr>
          <w:rFonts w:ascii="Times New Roman" w:eastAsia="Arial Narrow" w:hAnsi="Times New Roman"/>
        </w:rPr>
        <w:t>Deleted</w:t>
      </w:r>
      <w:proofErr w:type="spellEnd"/>
      <w:r w:rsidRPr="00315419">
        <w:rPr>
          <w:rFonts w:ascii="Times New Roman" w:eastAsia="Arial Narrow" w:hAnsi="Times New Roman"/>
        </w:rPr>
        <w:t xml:space="preserve"> Objects").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Microsoft SQL 2005 i nowsze.</w:t>
      </w:r>
    </w:p>
    <w:p w:rsidR="00191949" w:rsidRPr="00D0159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Microsoft </w:t>
      </w:r>
      <w:proofErr w:type="spellStart"/>
      <w:r w:rsidRPr="00315419">
        <w:rPr>
          <w:rFonts w:ascii="Times New Roman" w:eastAsia="Arial Narrow" w:hAnsi="Times New Roman"/>
        </w:rPr>
        <w:t>Sharepoint</w:t>
      </w:r>
      <w:proofErr w:type="spellEnd"/>
      <w:r w:rsidRPr="00315419">
        <w:rPr>
          <w:rFonts w:ascii="Times New Roman" w:eastAsia="Arial Narrow" w:hAnsi="Times New Roman"/>
        </w:rPr>
        <w:t xml:space="preserve"> 2010 i nowsze.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01599">
        <w:rPr>
          <w:rFonts w:ascii="Times New Roman" w:eastAsia="Arial Narrow" w:hAnsi="Times New Roman"/>
        </w:rPr>
        <w:t>Funkcjonalność ta nie może wymagać pełnego odtworzenia wirtualnej maszyny ani jej uruchomienia.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indeksować pliki Windows i Linux w celu szybkiego wyszukiwania plików w plikach backupowych</w:t>
      </w:r>
      <w:r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używać mechanizmów VSS wbudowanych w system operacyjny Microsoft Windows</w:t>
      </w:r>
      <w:r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wspierać także specyficzne metody odtwarzania w tym "</w:t>
      </w:r>
      <w:proofErr w:type="spellStart"/>
      <w:r w:rsidRPr="00315419">
        <w:rPr>
          <w:rFonts w:ascii="Times New Roman" w:eastAsia="Arial Narrow" w:hAnsi="Times New Roman"/>
        </w:rPr>
        <w:t>reverse</w:t>
      </w:r>
      <w:proofErr w:type="spellEnd"/>
      <w:r w:rsidRPr="00315419">
        <w:rPr>
          <w:rFonts w:ascii="Times New Roman" w:eastAsia="Arial Narrow" w:hAnsi="Times New Roman"/>
        </w:rPr>
        <w:t xml:space="preserve"> CBT" oraz odtwarzanie z wykorzystaniem sieci SAN</w:t>
      </w:r>
      <w:r>
        <w:rPr>
          <w:rFonts w:ascii="Times New Roman" w:eastAsia="Arial Narrow" w:hAnsi="Times New Roman"/>
        </w:rPr>
        <w:t>.</w:t>
      </w:r>
    </w:p>
    <w:p w:rsidR="00191949" w:rsidRDefault="00191949" w:rsidP="001919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Pr="003E2CA6" w:rsidRDefault="003E2CA6" w:rsidP="003E2CA6"/>
    <w:p w:rsidR="00C2439D" w:rsidRDefault="00C2439D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7.2 do S</w:t>
      </w: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C2439D" w:rsidRPr="000020D7" w:rsidRDefault="00C2439D" w:rsidP="00C2439D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0020D7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</w:t>
      </w:r>
      <w:r>
        <w:rPr>
          <w:rFonts w:ascii="Times New Roman" w:eastAsiaTheme="majorEastAsia" w:hAnsi="Times New Roman"/>
          <w:b/>
          <w:i/>
        </w:rPr>
        <w:t>.2</w:t>
      </w:r>
      <w:r w:rsidRPr="000020D7">
        <w:rPr>
          <w:rFonts w:ascii="Times New Roman" w:eastAsiaTheme="majorEastAsia" w:hAnsi="Times New Roman"/>
          <w:b/>
          <w:i/>
        </w:rPr>
        <w:t xml:space="preserve"> do Umowy</w:t>
      </w:r>
    </w:p>
    <w:p w:rsidR="00C2439D" w:rsidRPr="004913B7" w:rsidRDefault="00C2439D" w:rsidP="00C2439D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4913B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na dostawę systemu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archiwizacji badań radiologicznych</w:t>
      </w:r>
    </w:p>
    <w:p w:rsidR="00C2439D" w:rsidRPr="008B0F2D" w:rsidRDefault="00C2439D" w:rsidP="00C2439D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Nr sprawy Szp/FZ –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72/2021</w:t>
      </w:r>
    </w:p>
    <w:p w:rsidR="00BB342A" w:rsidRDefault="00BB342A" w:rsidP="008D425A">
      <w:pPr>
        <w:suppressAutoHyphens w:val="0"/>
        <w:autoSpaceDN/>
        <w:spacing w:before="30" w:after="3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:rsidR="005D795B" w:rsidRPr="00062BD8" w:rsidRDefault="005D795B" w:rsidP="005D795B">
      <w:pPr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Wymagania dotyczące wykonania dokumentacji powdrożeniowej</w:t>
      </w:r>
    </w:p>
    <w:p w:rsidR="005D795B" w:rsidRDefault="005D795B" w:rsidP="005D795B">
      <w:pPr>
        <w:suppressAutoHyphens w:val="0"/>
        <w:autoSpaceDN/>
        <w:spacing w:before="30" w:after="3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p w:rsidR="00C173AD" w:rsidRPr="00223C07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23C07">
        <w:rPr>
          <w:rFonts w:ascii="Times New Roman" w:eastAsia="Times New Roman" w:hAnsi="Times New Roman"/>
          <w:lang w:eastAsia="pl-PL"/>
        </w:rPr>
        <w:t>Wymagania ogólne:</w:t>
      </w:r>
    </w:p>
    <w:p w:rsidR="00C173AD" w:rsidRPr="00F54187" w:rsidRDefault="00C173AD" w:rsidP="00223C07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Język.</w:t>
      </w:r>
    </w:p>
    <w:p w:rsidR="00D305DA" w:rsidRPr="00D305DA" w:rsidRDefault="00C173AD" w:rsidP="00D305DA">
      <w:pPr>
        <w:pStyle w:val="Akapitzlist"/>
        <w:numPr>
          <w:ilvl w:val="0"/>
          <w:numId w:val="4"/>
        </w:numPr>
        <w:suppressAutoHyphens w:val="0"/>
        <w:autoSpaceDN/>
        <w:spacing w:before="30" w:after="3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305DA">
        <w:rPr>
          <w:rFonts w:ascii="Times New Roman" w:eastAsia="Times New Roman" w:hAnsi="Times New Roman"/>
          <w:lang w:eastAsia="pl-PL"/>
        </w:rPr>
        <w:t>Dokumentacja powinna być dostarczona w języku polskim.</w:t>
      </w:r>
    </w:p>
    <w:p w:rsidR="00C173AD" w:rsidRPr="00F54187" w:rsidRDefault="00C173AD" w:rsidP="00D305DA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Postać i forma dokumentacji.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Dokumentacja powinna być pogrupowana tematycznie i zawierać spis oraz charakterystykę wszystkich składników dokumentacji oraz powinna być dostarczona </w:t>
      </w:r>
      <w:r w:rsidR="00D81F32">
        <w:rPr>
          <w:rFonts w:ascii="Times New Roman" w:eastAsia="Times New Roman" w:hAnsi="Times New Roman"/>
          <w:lang w:eastAsia="pl-PL"/>
        </w:rPr>
        <w:t xml:space="preserve">w jednym egzemplarzu dla Zamawiającego </w:t>
      </w:r>
      <w:r w:rsidRPr="00F54187">
        <w:rPr>
          <w:rFonts w:ascii="Times New Roman" w:eastAsia="Times New Roman" w:hAnsi="Times New Roman"/>
          <w:lang w:eastAsia="pl-PL"/>
        </w:rPr>
        <w:t>w formie papierowej, w postaci zbindowanych egzemplarzy oraz w formie elektronicznej, w postaci plików w formacie PDF.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Suplementy do dokumentacji powinny być spisane w odrębnej liście, która powinna zawierać numer suplementu, wersję aplikacji i datę wydania suplementu. 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Procedury znajdujące się w dokumentacji nie mogą zawierać sformułowań typu „zgodnie ze standardem”, „zgodnie ze standardową procedurą”</w:t>
      </w:r>
      <w:r w:rsidR="00D305DA">
        <w:rPr>
          <w:rFonts w:ascii="Times New Roman" w:eastAsia="Times New Roman" w:hAnsi="Times New Roman"/>
          <w:lang w:eastAsia="pl-PL"/>
        </w:rPr>
        <w:t>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przypadku jeśli procedura opisywana w dokumentacji wymaga wykonywania specjalizowanych skryptów instalacyjnych, takich jak własne skrypty dostawcy systemu, skryptu muszą zostać dołączone i szczegółowo opisane w dokumentacji.</w:t>
      </w:r>
    </w:p>
    <w:p w:rsidR="00C173AD" w:rsidRPr="00F54187" w:rsidRDefault="00C173AD" w:rsidP="00D305DA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Zasady licencjonowania.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musi zawierać pełną charakterystykę licencjonowania wszystkich elementów dostarczonych przez wykonawcę.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Zamawiający musi posiadać prawo majątkowe do powielania i rozpowszechniania dokumentacji w ramach grupy i firm trzecich tworzących aplikacje powiązane lub modyfikacje na zlecenie Zamawiającego.</w:t>
      </w:r>
    </w:p>
    <w:p w:rsidR="00C173AD" w:rsidRPr="00F54187" w:rsidRDefault="00C173AD" w:rsidP="00C9047B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Umowy i zobowiązania licencyjne.</w:t>
      </w:r>
    </w:p>
    <w:p w:rsidR="00C173AD" w:rsidRPr="00F54187" w:rsidRDefault="00C173AD" w:rsidP="00DE245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Lista zawartych i obowiązujących umów z krótkim ich opisem.</w:t>
      </w:r>
    </w:p>
    <w:p w:rsidR="00C173AD" w:rsidRPr="00F54187" w:rsidRDefault="00C173AD" w:rsidP="00DE245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Charakterystyka usług serwisowych. </w:t>
      </w:r>
    </w:p>
    <w:p w:rsidR="00C173AD" w:rsidRPr="00DE245A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E245A">
        <w:rPr>
          <w:rFonts w:ascii="Times New Roman" w:eastAsia="Times New Roman" w:hAnsi="Times New Roman"/>
          <w:lang w:eastAsia="pl-PL"/>
        </w:rPr>
        <w:t>Dokumentacja użytkownika.</w:t>
      </w:r>
    </w:p>
    <w:p w:rsidR="00C173AD" w:rsidRPr="00F54187" w:rsidRDefault="00C173AD" w:rsidP="00E33888">
      <w:pPr>
        <w:numPr>
          <w:ilvl w:val="0"/>
          <w:numId w:val="5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powinna zawierać szczegółowy opis wszelkich funkcjonalności i właściwości dostarczonego rozwiązania informatycznego, pozwalający na poprawną konfigurację i eksploatację aplikacji zgodnie z jej przeznaczeniem. W szczególności: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podstawowych ról użytkowników i zasad ich kreowania;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zarządzania uprawnieniami użytkownika i tworzenia profili;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zarządzania autoryzacją i autentykacją użytkowników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podstawowych funkcjonalności systemu.</w:t>
      </w:r>
    </w:p>
    <w:p w:rsidR="00C173AD" w:rsidRPr="00E33888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33888">
        <w:rPr>
          <w:rFonts w:ascii="Times New Roman" w:eastAsia="Times New Roman" w:hAnsi="Times New Roman"/>
          <w:lang w:eastAsia="pl-PL"/>
        </w:rPr>
        <w:t>Dokumentacja techniczna i uruchomieniowa.</w:t>
      </w:r>
    </w:p>
    <w:p w:rsidR="00C173AD" w:rsidRPr="00F54187" w:rsidRDefault="00C173AD" w:rsidP="00E3388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dokumentacji muszą być zawarte opisy wszelkich cech, właściwości i funkcjonalności pozwalających na poprawną z punktu widzenia technicznego eksploatację aplikacji informatycznej. W szczególności: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Wyszczególnienie oraz opis powiązań wszystkich komponentów systemowych, aplikacyjnych i sprzętowych występujących lub wymaganych do poprawnej pracy aplikacji zgodnie z wymaganiami wydajności, funkcjonalności i bezpieczeństwa.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Opis konfiguracji sprzętowej, który musi zawierać wszystkie urządzenia wdrożone, zainstalowane w ramach wykonywanego wdrożenia systemu. Przykładowy zestaw wymaganych danych konfiguracyjnych obejmuje: Serwery (parametry sprzętowe), sieć (adresacja), podsystem dyskowy (litery dysków, wolumeny logiczne, grupy wolumenowe, zasoby dyskowe, RAID, itp.), system operacyjny, lista zainstalowanego oprogramowania, infrastrukturę sieciową (parametry sprzętowe, porty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fibre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channel, aktywne licencje,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fabric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zonning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, aliasy,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itp</w:t>
      </w:r>
      <w:proofErr w:type="spellEnd"/>
      <w:r w:rsidRPr="00F54187">
        <w:rPr>
          <w:rFonts w:ascii="Times New Roman" w:eastAsia="Times New Roman" w:hAnsi="Times New Roman"/>
          <w:lang w:eastAsia="pl-PL"/>
        </w:rPr>
        <w:t>).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lastRenderedPageBreak/>
        <w:t>Opis konfiguracji aplikacji/systemu, który musi obejmować ogół oprogramowania wdrożonego, zainstalowanego w ramach wykonywanego wdrożenia systemu. Przykładowy zestaw wymaganych danych konfiguracyjnych obejmuje: wersję oprogramowania, narzędzia, użytkowników i grupy systemowe, katalog instalacyjny, położenie plików konfiguracyjnych, pierwotne parametry konfiguracyjne i zmodyfikowane w procesie instalacji, położenie plików logów, położenie i opis kluczowych plików i katalogów, parametry instalacji, itp.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architektury logicznej zawierający opis powiązań logicznych poszczególnych komponentów i ich rolę w architekturze.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Opis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interface’ów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zawierający szczegółowy opis techniczny, w szczególności informację o typie interfejsu, wykorzystywanych protokołach, portach sieciowych, strukturze interfejsu, sposobie kontroli prawidłowości działania.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Procedury eksploatacji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szczególności dokumentacja powinna zawierać procedury tworzenia/odtwarzania kopii bezpieczeństwa operacyjnego i kopii zapasowych oraz odtworzenia z kopii wszystkich komponentów aplikacji i środowiska.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Procedura odtworzenia systemu po katastrofie (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disaster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recovery</w:t>
      </w:r>
      <w:proofErr w:type="spellEnd"/>
      <w:r w:rsidRPr="00F54187">
        <w:rPr>
          <w:rFonts w:ascii="Times New Roman" w:eastAsia="Times New Roman" w:hAnsi="Times New Roman"/>
          <w:lang w:eastAsia="pl-PL"/>
        </w:rPr>
        <w:t>)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Procedura pozwalająca na bezpieczne zatrzymanie/uruchomienie elementów infrastruktury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hardware’owej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oraz aplikacji i elementów infrastruktury software’owej.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Procedura instalacji,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reinstalacji</w:t>
      </w:r>
      <w:proofErr w:type="spellEnd"/>
      <w:r w:rsidRPr="00F54187">
        <w:rPr>
          <w:rFonts w:ascii="Times New Roman" w:eastAsia="Times New Roman" w:hAnsi="Times New Roman"/>
          <w:lang w:eastAsia="pl-PL"/>
        </w:rPr>
        <w:t>, deinstalacji oraz aktualizacji środowiska zawierająca szczegółowy opis w przypadku tworzenia zmian w środowisku.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Procedura wykonywania wszystkich rutynowych czynności administracyjnych dla wdrażanego systemu (dziennych, tygodniowych, miesięcznych) oraz działań pozwalających na utrzymanie wymaganej dostępności, wydajności i bezpieczeństwa. Procedura powinna zawierać informację o okresowych zadaniach, które muszą być wykonywane przez administratora</w:t>
      </w:r>
      <w:r w:rsidR="00D81F32">
        <w:rPr>
          <w:rFonts w:ascii="Times New Roman" w:eastAsia="Times New Roman" w:hAnsi="Times New Roman"/>
          <w:lang w:eastAsia="pl-PL"/>
        </w:rPr>
        <w:t xml:space="preserve"> Zamawiającego</w:t>
      </w:r>
      <w:r w:rsidRPr="00F54187">
        <w:rPr>
          <w:rFonts w:ascii="Times New Roman" w:eastAsia="Times New Roman" w:hAnsi="Times New Roman"/>
          <w:lang w:eastAsia="pl-PL"/>
        </w:rPr>
        <w:t>, np. czyszczenie logów, analiza poprawności wykonywania się kopii zapasowych, itp.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Dokumenty z testów.</w:t>
      </w:r>
    </w:p>
    <w:p w:rsidR="00C173AD" w:rsidRPr="00F54187" w:rsidRDefault="00C173AD" w:rsidP="00C22D78">
      <w:pPr>
        <w:numPr>
          <w:ilvl w:val="0"/>
          <w:numId w:val="10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Plan testów, scenariusze testowe, opis wykonywanych testów, wynik wykonywanych testów.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uruchomieniowa.</w:t>
      </w:r>
    </w:p>
    <w:p w:rsidR="00C173AD" w:rsidRPr="00F54187" w:rsidRDefault="00C173AD" w:rsidP="00C22D78">
      <w:pPr>
        <w:numPr>
          <w:ilvl w:val="0"/>
          <w:numId w:val="1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wszystkich istotnych czynności wykonanych w celu pierwszego uruchomienia systemu, w tym opis migracji/konwersji danych, testy uruchomieniowe.</w:t>
      </w:r>
    </w:p>
    <w:p w:rsidR="00592513" w:rsidRDefault="00592513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Pr="008D425A" w:rsidRDefault="008D425A" w:rsidP="008D425A">
      <w:p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strike/>
          <w:lang w:eastAsia="pl-PL"/>
        </w:rPr>
      </w:pPr>
    </w:p>
    <w:p w:rsidR="008D425A" w:rsidRDefault="008D425A"/>
    <w:p w:rsidR="008D425A" w:rsidRPr="00905C12" w:rsidRDefault="008D425A" w:rsidP="008D425A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 xml:space="preserve">Załącznik nr </w:t>
      </w:r>
      <w:r w:rsidR="00905C12"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t>7.3 do S</w:t>
      </w:r>
      <w:r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905C12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</w:t>
      </w:r>
      <w:r>
        <w:rPr>
          <w:rFonts w:ascii="Times New Roman" w:eastAsiaTheme="majorEastAsia" w:hAnsi="Times New Roman"/>
          <w:b/>
          <w:i/>
        </w:rPr>
        <w:t>.3</w:t>
      </w:r>
      <w:r w:rsidRPr="00905C12">
        <w:rPr>
          <w:rFonts w:ascii="Times New Roman" w:eastAsiaTheme="majorEastAsia" w:hAnsi="Times New Roman"/>
          <w:b/>
          <w:i/>
        </w:rPr>
        <w:t xml:space="preserve"> do Umowy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  <w:sz w:val="20"/>
          <w:szCs w:val="20"/>
        </w:rPr>
      </w:pPr>
      <w:r w:rsidRPr="00905C12">
        <w:rPr>
          <w:rFonts w:ascii="Times New Roman" w:eastAsiaTheme="majorEastAsia" w:hAnsi="Times New Roman"/>
          <w:b/>
          <w:i/>
          <w:sz w:val="20"/>
          <w:szCs w:val="20"/>
        </w:rPr>
        <w:t>na dostawę systemu archiwizacji badań radiologicznych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</w:rPr>
      </w:pPr>
      <w:r w:rsidRPr="00905C12">
        <w:rPr>
          <w:rFonts w:ascii="Times New Roman" w:eastAsiaTheme="majorEastAsia" w:hAnsi="Times New Roman"/>
          <w:b/>
          <w:i/>
        </w:rPr>
        <w:t>Nr sprawy Szp/FZ – 72/2021</w:t>
      </w:r>
    </w:p>
    <w:p w:rsidR="008D425A" w:rsidRDefault="008D425A"/>
    <w:p w:rsidR="008D425A" w:rsidRPr="00062BD8" w:rsidRDefault="00062BD8" w:rsidP="008D425A">
      <w:pPr>
        <w:suppressAutoHyphens w:val="0"/>
        <w:autoSpaceDN/>
        <w:spacing w:before="60" w:after="0" w:line="240" w:lineRule="auto"/>
        <w:ind w:left="360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Wymagania dotyczące wsparcia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="008D425A" w:rsidRPr="00062BD8">
        <w:rPr>
          <w:rFonts w:ascii="Times New Roman" w:eastAsia="Times New Roman" w:hAnsi="Times New Roman"/>
          <w:b/>
          <w:i/>
          <w:u w:val="single"/>
          <w:lang w:eastAsia="pl-PL"/>
        </w:rPr>
        <w:t>techniczne</w:t>
      </w: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go</w:t>
      </w:r>
    </w:p>
    <w:p w:rsidR="008D425A" w:rsidRPr="008D425A" w:rsidRDefault="008D425A" w:rsidP="008D425A">
      <w:pPr>
        <w:suppressAutoHyphens w:val="0"/>
        <w:autoSpaceDN/>
        <w:spacing w:before="60"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8D425A" w:rsidRPr="008D425A" w:rsidRDefault="00B53638" w:rsidP="00A673FD">
      <w:p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lang w:eastAsia="pl-PL"/>
        </w:rPr>
        <w:t>Wsparcie techniczne</w:t>
      </w:r>
      <w:r w:rsidR="008D425A" w:rsidRPr="008D425A">
        <w:rPr>
          <w:rFonts w:ascii="Times New Roman" w:eastAsia="Times New Roman" w:hAnsi="Times New Roman"/>
          <w:lang w:eastAsia="pl-PL"/>
        </w:rPr>
        <w:t xml:space="preserve"> musi obejmować swoim zakresem:</w:t>
      </w:r>
    </w:p>
    <w:p w:rsidR="008D425A" w:rsidRPr="008D425A" w:rsidRDefault="008D425A" w:rsidP="008D425A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8D425A" w:rsidRPr="00905C66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trike/>
          <w:lang w:eastAsia="pl-PL"/>
        </w:rPr>
      </w:pPr>
      <w:r w:rsidRPr="00905C66">
        <w:rPr>
          <w:rFonts w:ascii="Times New Roman" w:eastAsia="Times New Roman" w:hAnsi="Times New Roman"/>
          <w:strike/>
          <w:lang w:eastAsia="pl-PL"/>
        </w:rPr>
        <w:t>Naprawę</w:t>
      </w:r>
      <w:r w:rsidR="008D425A" w:rsidRPr="00905C66">
        <w:rPr>
          <w:rFonts w:ascii="Times New Roman" w:eastAsia="Times New Roman" w:hAnsi="Times New Roman"/>
          <w:strike/>
          <w:lang w:eastAsia="pl-PL"/>
        </w:rPr>
        <w:t xml:space="preserve"> </w:t>
      </w:r>
      <w:r w:rsidR="00CC4254" w:rsidRPr="00905C66">
        <w:rPr>
          <w:rFonts w:ascii="Times New Roman" w:eastAsia="Times New Roman" w:hAnsi="Times New Roman"/>
          <w:strike/>
          <w:lang w:eastAsia="pl-PL"/>
        </w:rPr>
        <w:t>awarii</w:t>
      </w:r>
      <w:r w:rsidR="008D425A" w:rsidRPr="00905C66">
        <w:rPr>
          <w:rFonts w:ascii="Times New Roman" w:eastAsia="Times New Roman" w:hAnsi="Times New Roman"/>
          <w:strike/>
          <w:lang w:eastAsia="pl-PL"/>
        </w:rPr>
        <w:t xml:space="preserve"> systemów lub znalezienie rozwiązania zastępczego umożliwiającego pełne funkcjonow</w:t>
      </w:r>
      <w:r w:rsidRPr="00905C66">
        <w:rPr>
          <w:rFonts w:ascii="Times New Roman" w:eastAsia="Times New Roman" w:hAnsi="Times New Roman"/>
          <w:strike/>
          <w:lang w:eastAsia="pl-PL"/>
        </w:rPr>
        <w:t>anie systemu objętego wsparciem</w:t>
      </w:r>
      <w:r w:rsidR="00905C12" w:rsidRPr="00905C66">
        <w:rPr>
          <w:rFonts w:ascii="Times New Roman" w:eastAsia="Times New Roman" w:hAnsi="Times New Roman"/>
          <w:strike/>
          <w:lang w:eastAsia="pl-PL"/>
        </w:rPr>
        <w:t xml:space="preserve"> w terminie nie dłuższym niż 24 godziny</w:t>
      </w:r>
      <w:r w:rsidR="00846D83" w:rsidRPr="00905C66">
        <w:rPr>
          <w:rFonts w:ascii="Times New Roman" w:eastAsia="Times New Roman" w:hAnsi="Times New Roman"/>
          <w:strike/>
          <w:lang w:eastAsia="pl-PL"/>
        </w:rPr>
        <w:t xml:space="preserve"> liczonych od zgłoszenia awarii</w:t>
      </w:r>
      <w:r w:rsidRPr="00905C66">
        <w:rPr>
          <w:rFonts w:ascii="Times New Roman" w:eastAsia="Times New Roman" w:hAnsi="Times New Roman"/>
          <w:strike/>
          <w:lang w:eastAsia="pl-PL"/>
        </w:rPr>
        <w:t>.</w:t>
      </w:r>
    </w:p>
    <w:p w:rsidR="008D425A" w:rsidRPr="009773CC" w:rsidRDefault="008D425A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Śledzenie i wgrywanie poprawek dla oprogramowania i sprzętu, migracje do nowych wersji, rekonfiguracje środowiska wynikające z potrzeb Zamawiającego.</w:t>
      </w:r>
    </w:p>
    <w:p w:rsidR="008D425A" w:rsidRPr="009773CC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 xml:space="preserve">Nadzór i opiekę </w:t>
      </w:r>
      <w:r w:rsidR="005E1736" w:rsidRPr="009773CC">
        <w:rPr>
          <w:rFonts w:ascii="Times New Roman" w:eastAsia="Times New Roman" w:hAnsi="Times New Roman"/>
          <w:lang w:eastAsia="pl-PL"/>
        </w:rPr>
        <w:t>nad prowadzoną przez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Zamawiającego gospodark</w:t>
      </w:r>
      <w:r w:rsidR="002514FF" w:rsidRPr="009773CC">
        <w:rPr>
          <w:rFonts w:ascii="Times New Roman" w:eastAsia="Times New Roman" w:hAnsi="Times New Roman"/>
          <w:lang w:eastAsia="pl-PL"/>
        </w:rPr>
        <w:t>ą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licencjami. </w:t>
      </w:r>
    </w:p>
    <w:p w:rsidR="008D425A" w:rsidRPr="009773CC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Nadzór oraz aktualizację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prowadzonej dla Zamawiającego dokumentacji. </w:t>
      </w:r>
    </w:p>
    <w:p w:rsidR="008D425A" w:rsidRPr="009773CC" w:rsidRDefault="008D425A" w:rsidP="00905C12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 xml:space="preserve">Inne prace dotyczące systemu </w:t>
      </w:r>
      <w:r w:rsidR="00905C12" w:rsidRPr="009773CC">
        <w:rPr>
          <w:rFonts w:ascii="Times New Roman" w:eastAsia="Times New Roman" w:hAnsi="Times New Roman"/>
          <w:lang w:eastAsia="pl-PL"/>
        </w:rPr>
        <w:t>archiwizacji badań radiologicznych</w:t>
      </w:r>
      <w:r w:rsidRPr="009773CC">
        <w:rPr>
          <w:rFonts w:ascii="Times New Roman" w:eastAsia="Times New Roman" w:hAnsi="Times New Roman"/>
          <w:lang w:eastAsia="pl-PL"/>
        </w:rPr>
        <w:t xml:space="preserve"> w ramach bieżącej administracji systemami (w tym instalacja nowych węzłów). </w:t>
      </w:r>
    </w:p>
    <w:p w:rsidR="008D425A" w:rsidRPr="009773CC" w:rsidRDefault="008D425A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Wszystkie prace muszą odbywa</w:t>
      </w:r>
      <w:r w:rsidR="00571239" w:rsidRPr="009773CC">
        <w:rPr>
          <w:rFonts w:ascii="Times New Roman" w:eastAsia="Times New Roman" w:hAnsi="Times New Roman"/>
          <w:lang w:eastAsia="pl-PL"/>
        </w:rPr>
        <w:t>ć się na miejscu w siedzibie u Z</w:t>
      </w:r>
      <w:r w:rsidRPr="009773CC">
        <w:rPr>
          <w:rFonts w:ascii="Times New Roman" w:eastAsia="Times New Roman" w:hAnsi="Times New Roman"/>
          <w:lang w:eastAsia="pl-PL"/>
        </w:rPr>
        <w:t>amawiającego.</w:t>
      </w:r>
    </w:p>
    <w:p w:rsidR="008D425A" w:rsidRPr="009773CC" w:rsidRDefault="001E1514" w:rsidP="00AD48CB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r w:rsidRPr="009773CC">
        <w:rPr>
          <w:rFonts w:ascii="Times New Roman" w:eastAsia="Times New Roman" w:hAnsi="Times New Roman"/>
          <w:noProof/>
          <w:lang w:eastAsia="pl-PL"/>
        </w:rPr>
        <w:t>M</w:t>
      </w:r>
      <w:r w:rsidR="00313839" w:rsidRPr="009773CC">
        <w:rPr>
          <w:rFonts w:ascii="Times New Roman" w:eastAsia="Times New Roman" w:hAnsi="Times New Roman"/>
          <w:noProof/>
          <w:lang w:eastAsia="pl-PL"/>
        </w:rPr>
        <w:t>ożliwość</w:t>
      </w:r>
      <w:r w:rsidR="008D425A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313839" w:rsidRPr="009773CC">
        <w:rPr>
          <w:rFonts w:ascii="Times New Roman" w:eastAsia="Times New Roman" w:hAnsi="Times New Roman"/>
          <w:noProof/>
          <w:lang w:eastAsia="pl-PL"/>
        </w:rPr>
        <w:t>zgłoszenia</w:t>
      </w:r>
      <w:r w:rsidR="00062BD8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 xml:space="preserve">awarii </w:t>
      </w:r>
      <w:r w:rsidR="008B0CE1" w:rsidRPr="009773CC">
        <w:rPr>
          <w:rFonts w:ascii="Times New Roman" w:hAnsi="Times New Roman"/>
        </w:rPr>
        <w:t>przez dedykowany serwisowy moduł internetowy</w:t>
      </w:r>
      <w:r w:rsidR="00196C27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 xml:space="preserve">oraz przez infolinię </w:t>
      </w:r>
      <w:r w:rsidR="00A673FD" w:rsidRPr="009773CC">
        <w:rPr>
          <w:rFonts w:ascii="Times New Roman" w:eastAsia="Times New Roman" w:hAnsi="Times New Roman"/>
          <w:noProof/>
          <w:lang w:eastAsia="pl-PL"/>
        </w:rPr>
        <w:t xml:space="preserve">w trybie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>24x7</w:t>
      </w:r>
      <w:r w:rsidR="00AD2CD8" w:rsidRPr="009773CC">
        <w:rPr>
          <w:rFonts w:ascii="Times New Roman" w:eastAsia="Times New Roman" w:hAnsi="Times New Roman"/>
          <w:noProof/>
          <w:lang w:eastAsia="pl-PL"/>
        </w:rPr>
        <w:t>.</w:t>
      </w:r>
    </w:p>
    <w:p w:rsidR="004C66BD" w:rsidRPr="00905C66" w:rsidRDefault="00302B26" w:rsidP="00AD48CB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trike/>
          <w:noProof/>
          <w:lang w:eastAsia="pl-PL"/>
        </w:rPr>
      </w:pPr>
      <w:r w:rsidRPr="00905C66">
        <w:rPr>
          <w:rFonts w:ascii="Times New Roman" w:eastAsia="Times New Roman" w:hAnsi="Times New Roman"/>
          <w:strike/>
          <w:noProof/>
          <w:lang w:eastAsia="pl-PL"/>
        </w:rPr>
        <w:t>C</w:t>
      </w:r>
      <w:r w:rsidR="004C66BD" w:rsidRPr="00905C66">
        <w:rPr>
          <w:rFonts w:ascii="Times New Roman" w:eastAsia="Times New Roman" w:hAnsi="Times New Roman"/>
          <w:strike/>
          <w:noProof/>
          <w:lang w:eastAsia="pl-PL"/>
        </w:rPr>
        <w:t>zas reakcji na zgłoszenie awarii w ciągu 4 godzin</w:t>
      </w:r>
      <w:r w:rsidRPr="00905C66">
        <w:rPr>
          <w:rFonts w:ascii="Times New Roman" w:eastAsia="Times New Roman" w:hAnsi="Times New Roman"/>
          <w:strike/>
          <w:noProof/>
          <w:lang w:eastAsia="pl-PL"/>
        </w:rPr>
        <w:t xml:space="preserve"> w dni robocze</w:t>
      </w:r>
      <w:r w:rsidR="00196C27" w:rsidRPr="00905C66">
        <w:rPr>
          <w:rFonts w:ascii="Times New Roman" w:eastAsia="Times New Roman" w:hAnsi="Times New Roman"/>
          <w:strike/>
          <w:noProof/>
          <w:lang w:eastAsia="pl-PL"/>
        </w:rPr>
        <w:t xml:space="preserve"> (od poniedziałku do piątku)</w:t>
      </w:r>
      <w:r w:rsidR="008B0CE1" w:rsidRPr="00905C66">
        <w:rPr>
          <w:rFonts w:ascii="Times New Roman" w:eastAsia="Times New Roman" w:hAnsi="Times New Roman"/>
          <w:strike/>
          <w:noProof/>
          <w:lang w:eastAsia="pl-PL"/>
        </w:rPr>
        <w:t>.</w:t>
      </w:r>
    </w:p>
    <w:p w:rsidR="00A673FD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bookmarkStart w:id="0" w:name="_GoBack"/>
      <w:bookmarkEnd w:id="0"/>
    </w:p>
    <w:p w:rsidR="00A673FD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</w:p>
    <w:p w:rsidR="00A673FD" w:rsidRPr="00341651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r w:rsidRPr="00341651">
        <w:rPr>
          <w:rFonts w:ascii="Times New Roman" w:eastAsia="Times New Roman" w:hAnsi="Times New Roman"/>
          <w:noProof/>
          <w:lang w:eastAsia="pl-PL"/>
        </w:rPr>
        <w:t>Wsparcie techniczne realizowane będzie przez podmiot upoważniony przez wytwórcę lub autoryzowanego przedstawiciela do wykonywania tych czynności.</w:t>
      </w:r>
    </w:p>
    <w:p w:rsidR="008D425A" w:rsidRPr="00341651" w:rsidRDefault="008D425A" w:rsidP="008D425A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lang w:eastAsia="pl-PL"/>
        </w:rPr>
      </w:pPr>
    </w:p>
    <w:p w:rsidR="003E2CA6" w:rsidRPr="001B203B" w:rsidRDefault="003E2CA6" w:rsidP="003E2CA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B203B">
        <w:rPr>
          <w:rFonts w:ascii="Times New Roman" w:eastAsia="Times New Roman" w:hAnsi="Times New Roman"/>
          <w:lang w:eastAsia="pl-PL"/>
        </w:rPr>
        <w:t xml:space="preserve">Dostarczone oprogramowanie musi posiadać możliwość aktualizacji oraz wsparcie techniczne producenta na </w:t>
      </w:r>
      <w:r>
        <w:rPr>
          <w:rFonts w:ascii="Times New Roman" w:eastAsia="Times New Roman" w:hAnsi="Times New Roman"/>
          <w:lang w:eastAsia="pl-PL"/>
        </w:rPr>
        <w:t>okres</w:t>
      </w:r>
      <w:r w:rsidRPr="001B203B">
        <w:rPr>
          <w:rFonts w:ascii="Times New Roman" w:eastAsia="Times New Roman" w:hAnsi="Times New Roman"/>
          <w:lang w:eastAsia="pl-PL"/>
        </w:rPr>
        <w:t xml:space="preserve"> 36 miesięcy począwszy od daty </w:t>
      </w:r>
      <w:r>
        <w:rPr>
          <w:rFonts w:ascii="Times New Roman" w:eastAsia="Times New Roman" w:hAnsi="Times New Roman"/>
          <w:lang w:eastAsia="pl-PL"/>
        </w:rPr>
        <w:t>podpisania końcowego protokołu odbioru</w:t>
      </w:r>
      <w:r w:rsidRPr="001B203B">
        <w:rPr>
          <w:rFonts w:ascii="Times New Roman" w:eastAsia="Times New Roman" w:hAnsi="Times New Roman"/>
          <w:lang w:eastAsia="pl-PL"/>
        </w:rPr>
        <w:t>. Liczba licencji musi pokryć następującą liczbę serwerów posiadanych przez Zamawiającego</w:t>
      </w:r>
      <w:r>
        <w:rPr>
          <w:rFonts w:ascii="Times New Roman" w:eastAsia="Times New Roman" w:hAnsi="Times New Roman"/>
          <w:lang w:eastAsia="pl-PL"/>
        </w:rPr>
        <w:t>, bez względu na zainstalowany tam system operacyjny, rodzaj procesora i liczbę maszyn wirtualnych wykorzystujących ich zasoby.</w:t>
      </w:r>
    </w:p>
    <w:p w:rsidR="003E2CA6" w:rsidRPr="001B203B" w:rsidRDefault="003E2CA6" w:rsidP="003E2CA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165"/>
        <w:gridCol w:w="1984"/>
        <w:gridCol w:w="1683"/>
      </w:tblGrid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Serwer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>Model procesora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Ilość procesorów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US"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US"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Olympus ENDOBASE PRO SERWER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 Xeon CPU E31220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PowerEdge</w:t>
            </w:r>
            <w:proofErr w:type="spellEnd"/>
            <w:r>
              <w:rPr>
                <w:sz w:val="20"/>
                <w:szCs w:val="20"/>
              </w:rPr>
              <w:t xml:space="preserve"> R210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 xml:space="preserve">Intel 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Core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 xml:space="preserve"> i3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:rsidR="008D425A" w:rsidRDefault="008D425A"/>
    <w:sectPr w:rsidR="008D425A" w:rsidSect="00A673F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9CD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48B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AA2"/>
    <w:multiLevelType w:val="hybridMultilevel"/>
    <w:tmpl w:val="94E0D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D26A67"/>
    <w:multiLevelType w:val="hybridMultilevel"/>
    <w:tmpl w:val="A31E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5B17"/>
    <w:multiLevelType w:val="hybridMultilevel"/>
    <w:tmpl w:val="B42C6DDC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1D92"/>
    <w:multiLevelType w:val="hybridMultilevel"/>
    <w:tmpl w:val="2258E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88A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C4291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B6C"/>
    <w:multiLevelType w:val="hybridMultilevel"/>
    <w:tmpl w:val="52806BC6"/>
    <w:lvl w:ilvl="0" w:tplc="2E56FC8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00F2A"/>
    <w:multiLevelType w:val="hybridMultilevel"/>
    <w:tmpl w:val="FA508F8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B0773"/>
    <w:multiLevelType w:val="hybridMultilevel"/>
    <w:tmpl w:val="E6420020"/>
    <w:lvl w:ilvl="0" w:tplc="B08ED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388C"/>
    <w:multiLevelType w:val="hybridMultilevel"/>
    <w:tmpl w:val="44DAEBD4"/>
    <w:lvl w:ilvl="0" w:tplc="2E56FC86">
      <w:start w:val="5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5FD66118"/>
    <w:multiLevelType w:val="hybridMultilevel"/>
    <w:tmpl w:val="966E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584B3B"/>
    <w:multiLevelType w:val="hybridMultilevel"/>
    <w:tmpl w:val="C0AE5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F90"/>
    <w:multiLevelType w:val="hybridMultilevel"/>
    <w:tmpl w:val="CA74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10495"/>
    <w:multiLevelType w:val="hybridMultilevel"/>
    <w:tmpl w:val="EDD0F36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79810965-82E4-4394-8F7F-E92C53BF5CAD}"/>
  </w:docVars>
  <w:rsids>
    <w:rsidRoot w:val="00E4300C"/>
    <w:rsid w:val="000020D7"/>
    <w:rsid w:val="00013812"/>
    <w:rsid w:val="00013FD9"/>
    <w:rsid w:val="00037942"/>
    <w:rsid w:val="00062BD8"/>
    <w:rsid w:val="001371DB"/>
    <w:rsid w:val="00191949"/>
    <w:rsid w:val="00196C27"/>
    <w:rsid w:val="001B203B"/>
    <w:rsid w:val="001B4B56"/>
    <w:rsid w:val="001E1514"/>
    <w:rsid w:val="001F1679"/>
    <w:rsid w:val="00215B7B"/>
    <w:rsid w:val="002226D8"/>
    <w:rsid w:val="00223C07"/>
    <w:rsid w:val="00250E93"/>
    <w:rsid w:val="002514FF"/>
    <w:rsid w:val="0025367D"/>
    <w:rsid w:val="00260340"/>
    <w:rsid w:val="002617D5"/>
    <w:rsid w:val="002839C7"/>
    <w:rsid w:val="002B11AB"/>
    <w:rsid w:val="002F2280"/>
    <w:rsid w:val="00302B26"/>
    <w:rsid w:val="00312ECF"/>
    <w:rsid w:val="00313839"/>
    <w:rsid w:val="00323862"/>
    <w:rsid w:val="00335E0B"/>
    <w:rsid w:val="00341651"/>
    <w:rsid w:val="003610D6"/>
    <w:rsid w:val="003D7000"/>
    <w:rsid w:val="003E0E1A"/>
    <w:rsid w:val="003E2CA6"/>
    <w:rsid w:val="003F2755"/>
    <w:rsid w:val="003F5C47"/>
    <w:rsid w:val="003F78E3"/>
    <w:rsid w:val="00412047"/>
    <w:rsid w:val="004252AB"/>
    <w:rsid w:val="00425448"/>
    <w:rsid w:val="0046399C"/>
    <w:rsid w:val="00463E75"/>
    <w:rsid w:val="00465E8C"/>
    <w:rsid w:val="004A0365"/>
    <w:rsid w:val="004A7BEE"/>
    <w:rsid w:val="004C66BD"/>
    <w:rsid w:val="005051EF"/>
    <w:rsid w:val="00514457"/>
    <w:rsid w:val="00571239"/>
    <w:rsid w:val="00592513"/>
    <w:rsid w:val="005D795B"/>
    <w:rsid w:val="005E0DAD"/>
    <w:rsid w:val="005E1736"/>
    <w:rsid w:val="005E45E0"/>
    <w:rsid w:val="005F279B"/>
    <w:rsid w:val="00604AA2"/>
    <w:rsid w:val="006C6509"/>
    <w:rsid w:val="006C6D4F"/>
    <w:rsid w:val="006F2CB9"/>
    <w:rsid w:val="007274AD"/>
    <w:rsid w:val="00754029"/>
    <w:rsid w:val="00762FDB"/>
    <w:rsid w:val="00775932"/>
    <w:rsid w:val="00776F34"/>
    <w:rsid w:val="00780312"/>
    <w:rsid w:val="007F3A74"/>
    <w:rsid w:val="00846D83"/>
    <w:rsid w:val="0087477F"/>
    <w:rsid w:val="00882E8E"/>
    <w:rsid w:val="00886742"/>
    <w:rsid w:val="008B0CE1"/>
    <w:rsid w:val="008D425A"/>
    <w:rsid w:val="008F2448"/>
    <w:rsid w:val="00905C12"/>
    <w:rsid w:val="00905C66"/>
    <w:rsid w:val="0090615B"/>
    <w:rsid w:val="00925B5B"/>
    <w:rsid w:val="00953536"/>
    <w:rsid w:val="009773CC"/>
    <w:rsid w:val="009D48A5"/>
    <w:rsid w:val="00A04C3B"/>
    <w:rsid w:val="00A416AB"/>
    <w:rsid w:val="00A4609E"/>
    <w:rsid w:val="00A673FD"/>
    <w:rsid w:val="00A73E19"/>
    <w:rsid w:val="00AD2CD8"/>
    <w:rsid w:val="00AD48CB"/>
    <w:rsid w:val="00B53638"/>
    <w:rsid w:val="00B767EF"/>
    <w:rsid w:val="00B879C9"/>
    <w:rsid w:val="00BB342A"/>
    <w:rsid w:val="00BE0E3B"/>
    <w:rsid w:val="00C05FBD"/>
    <w:rsid w:val="00C173AD"/>
    <w:rsid w:val="00C21C9D"/>
    <w:rsid w:val="00C22D78"/>
    <w:rsid w:val="00C2439D"/>
    <w:rsid w:val="00C600C1"/>
    <w:rsid w:val="00C71905"/>
    <w:rsid w:val="00C9047B"/>
    <w:rsid w:val="00CC4254"/>
    <w:rsid w:val="00D01599"/>
    <w:rsid w:val="00D16765"/>
    <w:rsid w:val="00D27B8C"/>
    <w:rsid w:val="00D305DA"/>
    <w:rsid w:val="00D6334A"/>
    <w:rsid w:val="00D81F32"/>
    <w:rsid w:val="00DE245A"/>
    <w:rsid w:val="00DF4279"/>
    <w:rsid w:val="00E27E89"/>
    <w:rsid w:val="00E33888"/>
    <w:rsid w:val="00E4300C"/>
    <w:rsid w:val="00E6695F"/>
    <w:rsid w:val="00E86EF5"/>
    <w:rsid w:val="00E9462E"/>
    <w:rsid w:val="00E96821"/>
    <w:rsid w:val="00EB167E"/>
    <w:rsid w:val="00EF511D"/>
    <w:rsid w:val="00F130B1"/>
    <w:rsid w:val="00F61F2F"/>
    <w:rsid w:val="00F663E6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5C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95B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3C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B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3B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E6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73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95B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3C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B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0965-82E4-4394-8F7F-E92C53BF5C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B4BBE5-3543-4825-A540-9F94D9A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42</cp:revision>
  <cp:lastPrinted>2022-02-28T20:03:00Z</cp:lastPrinted>
  <dcterms:created xsi:type="dcterms:W3CDTF">2018-08-29T11:55:00Z</dcterms:created>
  <dcterms:modified xsi:type="dcterms:W3CDTF">2022-03-23T12:32:00Z</dcterms:modified>
</cp:coreProperties>
</file>