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23EA" w14:textId="77777777" w:rsidR="00566760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Realizacja zadania  inwestycyjnego pn.:</w:t>
      </w:r>
    </w:p>
    <w:p w14:paraId="58139CE7" w14:textId="77777777" w:rsidR="00566760" w:rsidRDefault="0000000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Przebudowa dróg gruntowych na terenie Gminy Nowy Tomyśl</w:t>
      </w:r>
      <w:r>
        <w:rPr>
          <w:rFonts w:ascii="Times New Roman" w:hAnsi="Times New Roman" w:cs="Times New Roman"/>
        </w:rPr>
        <w:tab/>
      </w:r>
    </w:p>
    <w:p w14:paraId="03771C0B" w14:textId="77777777" w:rsidR="00566760" w:rsidRDefault="00566760">
      <w:pPr>
        <w:pStyle w:val="Akapitzlist"/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7B8879" w14:textId="77777777" w:rsidR="00566760" w:rsidRDefault="00000000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1D2F3F75" w14:textId="77777777" w:rsidR="00566760" w:rsidRDefault="00000000">
      <w:pPr>
        <w:pStyle w:val="Akapitzlist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Przedmiotem zamówienia jest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Przebudowa nawierzchni drogi gminnej nr 376546P (przedłużenie ul.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Sątopskiej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Glinnie i ul. Nowotomyskiej w Sątopach)</w:t>
      </w:r>
    </w:p>
    <w:p w14:paraId="38A23981" w14:textId="77777777" w:rsidR="00566760" w:rsidRDefault="00000000">
      <w:pPr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Zamówienie obejmuje:</w:t>
      </w:r>
    </w:p>
    <w:p w14:paraId="4284E713" w14:textId="77777777" w:rsidR="00566760" w:rsidRDefault="00000000">
      <w:pPr>
        <w:rPr>
          <w:rFonts w:hint="eastAsia"/>
        </w:rPr>
      </w:pPr>
      <w:r>
        <w:rPr>
          <w:rFonts w:ascii="Times New Roman" w:hAnsi="Times New Roman"/>
        </w:rPr>
        <w:t>W ramach budowy przewiduje się wykonanie następujących podstawowych robót:</w:t>
      </w:r>
    </w:p>
    <w:p w14:paraId="7FA19C3D" w14:textId="77777777" w:rsidR="00566760" w:rsidRDefault="00000000">
      <w:pPr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T5E6t00" w:hAnsi="TT5E6t00"/>
        </w:rPr>
        <w:t>wykonanie robót ziemnych związanych z korytowaniem i zagęszczeniem pod warstwy konstrukcyjne</w:t>
      </w:r>
    </w:p>
    <w:p w14:paraId="75F3D647" w14:textId="77777777" w:rsidR="00566760" w:rsidRDefault="00000000">
      <w:pPr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T5E6t00" w:hAnsi="TT5E6t00"/>
        </w:rPr>
        <w:t>wykonanie warstw podbudowy,</w:t>
      </w:r>
    </w:p>
    <w:p w14:paraId="26706764" w14:textId="77777777" w:rsidR="00566760" w:rsidRDefault="00000000">
      <w:pPr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T5E6t00" w:hAnsi="TT5E6t00"/>
        </w:rPr>
        <w:t>wykonanie warstw konstrukcyjnych nawierzchni jezdni (dwa ślady płyt betonowych),</w:t>
      </w:r>
    </w:p>
    <w:p w14:paraId="413B3C13" w14:textId="77777777" w:rsidR="00566760" w:rsidRDefault="00000000">
      <w:pPr>
        <w:numPr>
          <w:ilvl w:val="0"/>
          <w:numId w:val="2"/>
        </w:numPr>
        <w:spacing w:line="276" w:lineRule="auto"/>
        <w:ind w:left="720" w:firstLine="0"/>
        <w:jc w:val="both"/>
        <w:rPr>
          <w:rFonts w:hint="eastAsia"/>
        </w:rPr>
      </w:pPr>
      <w:r>
        <w:rPr>
          <w:rFonts w:ascii="TT5E6t00" w:eastAsia="Times New Roman" w:hAnsi="TT5E6t00" w:cs="Times New Roman"/>
          <w:color w:val="000000"/>
          <w:lang w:eastAsia="pl-PL"/>
        </w:rPr>
        <w:t>uzupełnienie przestrzeni między płytami kruszywem oraz kostką betonową ażurową,</w:t>
      </w:r>
    </w:p>
    <w:p w14:paraId="187C6917" w14:textId="77777777" w:rsidR="00566760" w:rsidRDefault="00000000">
      <w:pPr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T5E6t00" w:eastAsia="Times New Roman" w:hAnsi="TT5E6t00" w:cs="Times New Roman"/>
          <w:color w:val="000000"/>
          <w:lang w:eastAsia="pl-PL"/>
        </w:rPr>
        <w:t>utwardzenie pobocza kruszywem</w:t>
      </w:r>
    </w:p>
    <w:p w14:paraId="77D85611" w14:textId="77777777" w:rsidR="00566760" w:rsidRDefault="00566760">
      <w:pPr>
        <w:spacing w:line="276" w:lineRule="auto"/>
        <w:jc w:val="both"/>
        <w:rPr>
          <w:rFonts w:ascii="Times New Roman" w:hAnsi="Times New Roman" w:cs="Times New Roman"/>
        </w:rPr>
      </w:pPr>
    </w:p>
    <w:p w14:paraId="416ACBA7" w14:textId="77777777" w:rsidR="00566760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Termin realizacji: cztery miesiące na realizację przedmiotu zamówienia</w:t>
      </w:r>
    </w:p>
    <w:p w14:paraId="39139AB6" w14:textId="77777777" w:rsidR="00566760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Zamawiający jest dysponuje 287 </w:t>
      </w:r>
      <w:proofErr w:type="spellStart"/>
      <w:r>
        <w:rPr>
          <w:rFonts w:ascii="Times New Roman" w:hAnsi="Times New Roman" w:cs="Times New Roman"/>
        </w:rPr>
        <w:t>szt</w:t>
      </w:r>
      <w:proofErr w:type="spellEnd"/>
      <w:r>
        <w:rPr>
          <w:rFonts w:ascii="Times New Roman" w:hAnsi="Times New Roman" w:cs="Times New Roman"/>
        </w:rPr>
        <w:t xml:space="preserve"> drogowych płyt betonowych PDTP 120x80x16 , które zostaną złożone na paletach w odległości nie przekraczającej 100m od miejsca prowadzenia inwestycji, które należy użyć do wykonania przedmiotu zamówienia. Co za tym idzie wartość oferty powinna zostać umniejszona o ich wartość. </w:t>
      </w:r>
    </w:p>
    <w:p w14:paraId="4023182D" w14:textId="77777777" w:rsidR="00566760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Palety po ułożeniu płyt w drodze muszą zostać zwrócone dostawcy płyt po uzgodnieniu formy transportu w niepogorszonym stanie. </w:t>
      </w:r>
    </w:p>
    <w:p w14:paraId="1D634AF2" w14:textId="77777777" w:rsidR="00566760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Przebudowywaną nawierzchnię należy dowiązać do już przebudowanych istniejących nawierzchni.</w:t>
      </w:r>
    </w:p>
    <w:p w14:paraId="053EDC2B" w14:textId="77777777" w:rsidR="00566760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W trakcie prowadzenia robót remontowych organizacja ruchu powinna w jak najmniejszy sposób ingerować w funkcjonowanie ruchu drogowego na powyższym odcinku i zapewnić bezpieczny dojazd do okolicznych nieruchomości.</w:t>
      </w:r>
    </w:p>
    <w:p w14:paraId="5790FE37" w14:textId="77777777" w:rsidR="00566760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Po stronie Wykonawcy leży zabezpieczenie i właściwe oznakowanie terenu budowy w sposób zgodny z obowiązującymi przepisami BHP oraz ustawą o ruchu drogowym. </w:t>
      </w:r>
    </w:p>
    <w:p w14:paraId="70755E57" w14:textId="77777777" w:rsidR="00566760" w:rsidRDefault="00000000">
      <w:pPr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Zaleca się wykonawcy przeprowadzenie wizji lokalnej przed przystąpieniem do udziału w postępowaniu przetargowym po uprzednim umówieniu wizyty z przedstawicielem Wydziału Infrastruktury i Drogowego Urzędu Miejskiego w Nowym Tomyślu pod numerem telefonu 61 44 26 641.</w:t>
      </w:r>
    </w:p>
    <w:p w14:paraId="61B1320E" w14:textId="77777777" w:rsidR="00566760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 xml:space="preserve">Wykonawca </w:t>
      </w:r>
      <w:bookmarkStart w:id="0" w:name="__DdeLink__62_1594010283"/>
      <w:r>
        <w:rPr>
          <w:rFonts w:ascii="Times New Roman" w:hAnsi="Times New Roman" w:cs="Times New Roman"/>
        </w:rPr>
        <w:t xml:space="preserve">zobowiązany jest </w:t>
      </w:r>
      <w:bookmarkEnd w:id="0"/>
      <w:r>
        <w:rPr>
          <w:rFonts w:ascii="Times New Roman" w:hAnsi="Times New Roman" w:cs="Times New Roman"/>
        </w:rPr>
        <w:t>do przeprowadzenia robót budowlanych na podstawie przedłożonej dokumentacji przetargowej.</w:t>
      </w:r>
    </w:p>
    <w:p w14:paraId="65DA2610" w14:textId="77777777" w:rsidR="00566760" w:rsidRDefault="00566760">
      <w:pPr>
        <w:spacing w:line="276" w:lineRule="auto"/>
        <w:jc w:val="both"/>
        <w:rPr>
          <w:rFonts w:ascii="Times New Roman" w:hAnsi="Times New Roman" w:cs="Times New Roman"/>
        </w:rPr>
      </w:pPr>
    </w:p>
    <w:p w14:paraId="7CF331FD" w14:textId="77777777" w:rsidR="00566760" w:rsidRDefault="00566760">
      <w:pPr>
        <w:spacing w:line="276" w:lineRule="auto"/>
        <w:jc w:val="both"/>
        <w:rPr>
          <w:rFonts w:ascii="Times New Roman" w:hAnsi="Times New Roman" w:cs="Times New Roman"/>
        </w:rPr>
      </w:pPr>
    </w:p>
    <w:p w14:paraId="18D1B29F" w14:textId="77777777" w:rsidR="00566760" w:rsidRDefault="00566760">
      <w:pPr>
        <w:spacing w:after="160" w:line="276" w:lineRule="auto"/>
        <w:rPr>
          <w:rFonts w:hint="eastAsia"/>
        </w:rPr>
      </w:pPr>
    </w:p>
    <w:sectPr w:rsidR="005667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E6t00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0D8"/>
    <w:multiLevelType w:val="multilevel"/>
    <w:tmpl w:val="B6AEB9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6177C5"/>
    <w:multiLevelType w:val="multilevel"/>
    <w:tmpl w:val="49CA53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8792646"/>
    <w:multiLevelType w:val="multilevel"/>
    <w:tmpl w:val="02E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35946263">
    <w:abstractNumId w:val="2"/>
  </w:num>
  <w:num w:numId="2" w16cid:durableId="1541698565">
    <w:abstractNumId w:val="1"/>
  </w:num>
  <w:num w:numId="3" w16cid:durableId="32768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60"/>
    <w:rsid w:val="00566760"/>
    <w:rsid w:val="008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CA12"/>
  <w15:docId w15:val="{3117633F-ACF7-40B2-9377-8EF39AA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5CF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5CF3"/>
    <w:rPr>
      <w:b/>
      <w:bCs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990169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  <w:i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i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 w:val="0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  <w:b w:val="0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  <w:b w:val="0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 w:val="0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  <w:b w:val="0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 w:val="0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  <w:b w:val="0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  <w:b w:val="0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WWCharLFO11LVL1">
    <w:name w:val="WW_CharLFO11LVL1"/>
    <w:qFormat/>
    <w:rPr>
      <w:b/>
      <w:i w:val="0"/>
      <w:iCs w:val="0"/>
    </w:rPr>
  </w:style>
  <w:style w:type="character" w:customStyle="1" w:styleId="WWCharLFO3LVL9">
    <w:name w:val="WW_CharLFO3LVL9"/>
    <w:qFormat/>
    <w:rPr>
      <w:rFonts w:ascii="OpenSymbol" w:hAnsi="OpenSymbol" w:cs="OpenSymbol"/>
    </w:rPr>
  </w:style>
  <w:style w:type="character" w:customStyle="1" w:styleId="WWCharLFO3LVL8">
    <w:name w:val="WW_CharLFO3LVL8"/>
    <w:qFormat/>
    <w:rPr>
      <w:rFonts w:ascii="OpenSymbol" w:hAnsi="Open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OpenSymbol" w:hAnsi="OpenSymbol" w:cs="OpenSymbol"/>
    </w:rPr>
  </w:style>
  <w:style w:type="character" w:customStyle="1" w:styleId="WWCharLFO3LVL5">
    <w:name w:val="WW_CharLFO3LVL5"/>
    <w:qFormat/>
    <w:rPr>
      <w:rFonts w:ascii="OpenSymbol" w:hAnsi="Open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OpenSymbol" w:hAnsi="OpenSymbol" w:cs="OpenSymbol"/>
    </w:rPr>
  </w:style>
  <w:style w:type="character" w:customStyle="1" w:styleId="WWCharLFO3LVL2">
    <w:name w:val="WW_CharLFO3LVL2"/>
    <w:qFormat/>
    <w:rPr>
      <w:rFonts w:ascii="OpenSymbol" w:hAnsi="OpenSymbol" w:cs="OpenSymbol"/>
    </w:rPr>
  </w:style>
  <w:style w:type="character" w:customStyle="1" w:styleId="WWCharLFO3LVL1">
    <w:name w:val="WW_CharLFO3LVL1"/>
    <w:qFormat/>
    <w:rPr>
      <w:rFonts w:ascii="Symbol" w:hAnsi="Symbol" w:cs="OpenSymbol"/>
      <w:b w:val="0"/>
    </w:rPr>
  </w:style>
  <w:style w:type="character" w:customStyle="1" w:styleId="WWCharLFO2LVL9">
    <w:name w:val="WW_CharLFO2LVL9"/>
    <w:qFormat/>
    <w:rPr>
      <w:rFonts w:ascii="OpenSymbol" w:hAnsi="OpenSymbol" w:cs="OpenSymbol"/>
    </w:rPr>
  </w:style>
  <w:style w:type="character" w:customStyle="1" w:styleId="WWCharLFO2LVL8">
    <w:name w:val="WW_CharLFO2LVL8"/>
    <w:qFormat/>
    <w:rPr>
      <w:rFonts w:ascii="OpenSymbol" w:hAnsi="OpenSymbol" w:cs="OpenSymbol"/>
    </w:rPr>
  </w:style>
  <w:style w:type="character" w:customStyle="1" w:styleId="WWCharLFO2LVL7">
    <w:name w:val="WW_CharLFO2LVL7"/>
    <w:qFormat/>
    <w:rPr>
      <w:rFonts w:ascii="Symbol" w:hAnsi="Symbol" w:cs="OpenSymbol"/>
    </w:rPr>
  </w:style>
  <w:style w:type="character" w:customStyle="1" w:styleId="WWCharLFO2LVL6">
    <w:name w:val="WW_CharLFO2LVL6"/>
    <w:qFormat/>
    <w:rPr>
      <w:rFonts w:ascii="OpenSymbol" w:hAnsi="OpenSymbol" w:cs="OpenSymbol"/>
    </w:rPr>
  </w:style>
  <w:style w:type="character" w:customStyle="1" w:styleId="WWCharLFO2LVL5">
    <w:name w:val="WW_CharLFO2LVL5"/>
    <w:qFormat/>
    <w:rPr>
      <w:rFonts w:ascii="OpenSymbol" w:hAnsi="OpenSymbol" w:cs="OpenSymbol"/>
    </w:rPr>
  </w:style>
  <w:style w:type="character" w:customStyle="1" w:styleId="WWCharLFO2LVL4">
    <w:name w:val="WW_CharLFO2LVL4"/>
    <w:qFormat/>
    <w:rPr>
      <w:rFonts w:ascii="Symbol" w:hAnsi="Symbol" w:cs="OpenSymbol"/>
    </w:rPr>
  </w:style>
  <w:style w:type="character" w:customStyle="1" w:styleId="WWCharLFO2LVL3">
    <w:name w:val="WW_CharLFO2LVL3"/>
    <w:qFormat/>
    <w:rPr>
      <w:rFonts w:ascii="OpenSymbol" w:hAnsi="OpenSymbol" w:cs="OpenSymbol"/>
    </w:rPr>
  </w:style>
  <w:style w:type="character" w:customStyle="1" w:styleId="WWCharLFO2LVL2">
    <w:name w:val="WW_CharLFO2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Symbol" w:hAnsi="Symbol" w:cs="OpenSymbo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  <w:b w:val="0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  <w:b w:val="0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82">
    <w:name w:val="ListLabel 982"/>
    <w:qFormat/>
    <w:rPr>
      <w:rFonts w:cs="OpenSymbol"/>
      <w:b w:val="0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uppressAutoHyphens w:val="0"/>
      <w:spacing w:line="247" w:lineRule="auto"/>
      <w:ind w:left="720"/>
    </w:pPr>
    <w:rPr>
      <w:rFonts w:cs="Calibri"/>
    </w:rPr>
  </w:style>
  <w:style w:type="paragraph" w:customStyle="1" w:styleId="Default">
    <w:name w:val="Default"/>
    <w:qFormat/>
    <w:rsid w:val="00BB2306"/>
    <w:pPr>
      <w:overflowPunct w:val="0"/>
    </w:pPr>
    <w:rPr>
      <w:rFonts w:ascii="Calibri" w:eastAsia="Calibri" w:hAnsi="Calibri" w:cs="Calibri"/>
      <w:color w:val="000000"/>
      <w:kern w:val="0"/>
      <w:sz w:val="24"/>
      <w:lang w:eastAsia="en-US" w:bidi="ar-SA"/>
    </w:rPr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qFormat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paragraph" w:customStyle="1" w:styleId="Standard">
    <w:name w:val="Standard"/>
    <w:qFormat/>
    <w:pPr>
      <w:suppressAutoHyphens/>
      <w:overflowPunct w:val="0"/>
      <w:spacing w:after="160" w:line="259" w:lineRule="auto"/>
      <w:textAlignment w:val="baseline"/>
    </w:pPr>
    <w:rPr>
      <w:rFonts w:ascii="Calibri" w:eastAsia="Calibri" w:hAnsi="Calibri" w:cs="Tahoma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2F16-AAF7-43FB-8FE5-1AB59EFB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dc:description/>
  <cp:lastModifiedBy>szs4</cp:lastModifiedBy>
  <cp:revision>2</cp:revision>
  <cp:lastPrinted>2022-05-31T08:37:00Z</cp:lastPrinted>
  <dcterms:created xsi:type="dcterms:W3CDTF">2023-04-20T08:14:00Z</dcterms:created>
  <dcterms:modified xsi:type="dcterms:W3CDTF">2023-04-20T08:14:00Z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