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FA346F" w:rsidRPr="00FA346F">
        <w:rPr>
          <w:rFonts w:ascii="Arial" w:hAnsi="Arial" w:cs="Arial"/>
          <w:color w:val="000000" w:themeColor="text1"/>
          <w:sz w:val="21"/>
          <w:szCs w:val="21"/>
        </w:rPr>
        <w:t>Dostawa energii elektrycznej na potrzeby MPWiK Sp. z o.o. w 2023 r.</w:t>
      </w:r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 Wodociągów i Kanalizacji Sp. z 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F1" w:rsidRDefault="00DA69F1" w:rsidP="00EF45B6">
      <w:pPr>
        <w:spacing w:after="0" w:line="240" w:lineRule="auto"/>
      </w:pPr>
      <w:r>
        <w:separator/>
      </w:r>
    </w:p>
  </w:endnote>
  <w:end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F1" w:rsidRDefault="00DA69F1" w:rsidP="00EF45B6">
      <w:pPr>
        <w:spacing w:after="0" w:line="240" w:lineRule="auto"/>
      </w:pPr>
      <w:r>
        <w:separator/>
      </w:r>
    </w:p>
  </w:footnote>
  <w:foot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4DD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398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4014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2B3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6EA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823BD-CACC-4936-8D9A-39243BC90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Przemyslaw Harezlak</cp:lastModifiedBy>
  <cp:revision>7</cp:revision>
  <dcterms:created xsi:type="dcterms:W3CDTF">2022-05-11T10:42:00Z</dcterms:created>
  <dcterms:modified xsi:type="dcterms:W3CDTF">2023-05-26T07:24:00Z</dcterms:modified>
</cp:coreProperties>
</file>