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D1E" w:rsidRPr="007A34E9" w:rsidRDefault="00B827A7" w:rsidP="007A34E9">
      <w:pPr>
        <w:rPr>
          <w:rFonts w:ascii="Calibri" w:eastAsia="NSimSun" w:hAnsi="Calibri" w:cs="Calibri"/>
          <w:b/>
          <w:color w:val="auto"/>
          <w:kern w:val="3"/>
          <w:sz w:val="20"/>
          <w:szCs w:val="20"/>
          <w:lang w:eastAsia="zh-CN" w:bidi="hi-IN"/>
        </w:rPr>
      </w:pPr>
      <w:r w:rsidRPr="007A34E9">
        <w:rPr>
          <w:rFonts w:ascii="Calibri" w:eastAsia="NSimSun" w:hAnsi="Calibri" w:cs="Calibri"/>
          <w:b/>
          <w:color w:val="auto"/>
          <w:kern w:val="3"/>
          <w:sz w:val="20"/>
          <w:szCs w:val="20"/>
          <w:lang w:eastAsia="zh-CN" w:bidi="hi-IN"/>
        </w:rPr>
        <w:t>Załącznik nr 2</w:t>
      </w:r>
      <w:r w:rsidR="00FE603B" w:rsidRPr="007A34E9">
        <w:rPr>
          <w:rFonts w:ascii="Calibri" w:eastAsia="NSimSun" w:hAnsi="Calibri" w:cs="Calibri"/>
          <w:b/>
          <w:color w:val="auto"/>
          <w:kern w:val="3"/>
          <w:sz w:val="20"/>
          <w:szCs w:val="20"/>
          <w:lang w:eastAsia="zh-CN" w:bidi="hi-IN"/>
        </w:rPr>
        <w:t>.1</w:t>
      </w:r>
      <w:r w:rsidRPr="007A34E9">
        <w:rPr>
          <w:rFonts w:ascii="Calibri" w:eastAsia="NSimSun" w:hAnsi="Calibri" w:cs="Calibri"/>
          <w:b/>
          <w:color w:val="auto"/>
          <w:kern w:val="3"/>
          <w:sz w:val="20"/>
          <w:szCs w:val="20"/>
          <w:lang w:eastAsia="zh-CN" w:bidi="hi-IN"/>
        </w:rPr>
        <w:t xml:space="preserve"> – Kosztorys Ofertowy</w:t>
      </w:r>
    </w:p>
    <w:p w:rsidR="009F2D1E" w:rsidRPr="007A34E9" w:rsidRDefault="00FE603B" w:rsidP="007A34E9">
      <w:pPr>
        <w:spacing w:after="120"/>
        <w:rPr>
          <w:rFonts w:ascii="Calibri" w:hAnsi="Calibri" w:cs="Calibri"/>
          <w:b/>
          <w:sz w:val="20"/>
          <w:szCs w:val="20"/>
          <w:lang w:eastAsia="zh-CN"/>
        </w:rPr>
      </w:pPr>
      <w:r w:rsidRPr="007A34E9">
        <w:rPr>
          <w:rFonts w:ascii="Calibri" w:hAnsi="Calibri" w:cs="Calibri"/>
          <w:b/>
          <w:sz w:val="20"/>
          <w:szCs w:val="20"/>
          <w:lang w:eastAsia="zh-CN"/>
        </w:rPr>
        <w:t>Część 1 – Zestawy diagnostyczne do oceny bloczków parafinowych</w:t>
      </w:r>
    </w:p>
    <w:tbl>
      <w:tblPr>
        <w:tblW w:w="14469" w:type="dxa"/>
        <w:tblInd w:w="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965"/>
        <w:gridCol w:w="1134"/>
        <w:gridCol w:w="992"/>
        <w:gridCol w:w="1417"/>
        <w:gridCol w:w="1985"/>
        <w:gridCol w:w="1701"/>
        <w:gridCol w:w="1716"/>
      </w:tblGrid>
      <w:tr w:rsidR="009F2D1E" w:rsidRPr="007A34E9" w:rsidTr="007A34E9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2D1E" w:rsidRPr="007A34E9" w:rsidRDefault="009F2D1E" w:rsidP="003F2090">
            <w:pPr>
              <w:pStyle w:val="TableContents"/>
              <w:ind w:left="-64" w:right="-1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L.p.</w:t>
            </w:r>
          </w:p>
        </w:tc>
        <w:tc>
          <w:tcPr>
            <w:tcW w:w="4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2D1E" w:rsidRPr="007A34E9" w:rsidRDefault="009F2D1E" w:rsidP="003F209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Asortyment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2D1E" w:rsidRPr="007A34E9" w:rsidRDefault="009F2D1E" w:rsidP="003F209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2D1E" w:rsidRPr="007A34E9" w:rsidRDefault="009F2D1E" w:rsidP="003F209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Ilość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2D1E" w:rsidRPr="007A34E9" w:rsidRDefault="009F2D1E" w:rsidP="003F209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Cena jedn. brutto*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2D1E" w:rsidRPr="007A34E9" w:rsidRDefault="009F2D1E" w:rsidP="003F209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Wartość całkowita brutto*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2D1E" w:rsidRPr="007A34E9" w:rsidRDefault="009F2D1E" w:rsidP="003F209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Producent*</w:t>
            </w:r>
          </w:p>
        </w:tc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F2D1E" w:rsidRPr="007A34E9" w:rsidRDefault="009F2D1E" w:rsidP="003F2090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Numer katalogowy*</w:t>
            </w:r>
          </w:p>
        </w:tc>
      </w:tr>
      <w:tr w:rsidR="009F2D1E" w:rsidRPr="007A34E9" w:rsidTr="007A34E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072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9F2D1E" w:rsidRPr="007A34E9" w:rsidRDefault="009F2D1E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4965" w:type="dxa"/>
            <w:shd w:val="clear" w:color="auto" w:fill="FFFFFF"/>
          </w:tcPr>
          <w:p w:rsidR="003470C0" w:rsidRPr="007A34E9" w:rsidRDefault="00FE603B" w:rsidP="00F26C1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Zestaw do Real-Time PCR do wykrywania mutacji somatycznych w genie </w:t>
            </w:r>
            <w:r w:rsidRPr="007A34E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PIK3CA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(CE-IVD), w eksonie 9 i 20 ludzkiego genomowego DNA w materiale utrwalonym w bloczku parafinowym, do użycia z Cobas z480, Rotor-Gene Q i Bio-Rad CFX96. Do wykonania 48 reakcji z dwukanałowym</w:t>
            </w:r>
            <w:r w:rsidR="005C2CAB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formatem detekcji.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2D1E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</w:t>
            </w:r>
            <w:r w:rsidR="009F2D1E" w:rsidRPr="007A34E9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F2D1E" w:rsidRPr="007A34E9" w:rsidRDefault="00FE603B" w:rsidP="009B1292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F2D1E" w:rsidRPr="007A34E9" w:rsidRDefault="009F2D1E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9F2D1E" w:rsidRPr="007A34E9" w:rsidRDefault="009F2D1E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9F2D1E" w:rsidRPr="007A34E9" w:rsidRDefault="009F2D1E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9F2D1E" w:rsidRPr="007A34E9" w:rsidRDefault="009F2D1E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987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F26C1C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auto"/>
                <w:sz w:val="20"/>
                <w:szCs w:val="20"/>
                <w:lang w:eastAsia="pl-PL"/>
              </w:rPr>
              <w:t xml:space="preserve">Zestaw do Real-Time PCR, do wykrywania mutacji w genie </w:t>
            </w:r>
            <w:r w:rsidRPr="007A34E9">
              <w:rPr>
                <w:rFonts w:ascii="Calibri" w:hAnsi="Calibri" w:cs="Calibri"/>
                <w:i/>
                <w:color w:val="auto"/>
                <w:sz w:val="20"/>
                <w:szCs w:val="20"/>
                <w:lang w:eastAsia="pl-PL"/>
              </w:rPr>
              <w:t>KRAS</w:t>
            </w:r>
            <w:r w:rsidRPr="007A34E9">
              <w:rPr>
                <w:rFonts w:ascii="Calibri" w:hAnsi="Calibri" w:cs="Calibri"/>
                <w:color w:val="auto"/>
                <w:sz w:val="20"/>
                <w:szCs w:val="20"/>
                <w:lang w:eastAsia="pl-PL"/>
              </w:rPr>
              <w:t xml:space="preserve"> w eksonach 2, 3 i 4 w materiale utrwalonym w bloczku parafinowym. Zestaw na 50 reakcji, do użycia z  </w:t>
            </w:r>
            <w:r w:rsidR="005C2CAB">
              <w:rPr>
                <w:rFonts w:ascii="Calibri" w:hAnsi="Calibri" w:cs="Calibri"/>
                <w:color w:val="auto"/>
                <w:sz w:val="20"/>
                <w:szCs w:val="20"/>
                <w:lang w:eastAsia="pl-PL"/>
              </w:rPr>
              <w:t>dwukanałowym systemem detekcji.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986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F26C1C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auto"/>
                <w:sz w:val="20"/>
                <w:szCs w:val="20"/>
                <w:lang w:eastAsia="pl-PL"/>
              </w:rPr>
              <w:t>Zestaw do Real-Time PCR, do wykrywania mutacji w genie NRAS w eksonach 2, 3 i 4 w materiale utrwalonym w bloczku parafinowym, Zestaw na 50 reakcji , do użycia z  dwukanałowym systemem detekcji</w:t>
            </w:r>
            <w:r w:rsidR="005C2CAB">
              <w:rPr>
                <w:rFonts w:ascii="Calibri" w:hAnsi="Calibri" w:cs="Calibri"/>
                <w:color w:val="auto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70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1A03D8">
            <w:pPr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auto"/>
                <w:sz w:val="20"/>
                <w:szCs w:val="20"/>
                <w:lang w:eastAsia="pl-PL"/>
              </w:rPr>
              <w:t xml:space="preserve">Zestaw do Real-Time PCR (CE-IVD), do wykrywania mutacji V600E/K/D/R/M w genie </w:t>
            </w:r>
            <w:r w:rsidRPr="007A34E9">
              <w:rPr>
                <w:rFonts w:ascii="Calibri" w:hAnsi="Calibri" w:cs="Calibri"/>
                <w:i/>
                <w:color w:val="auto"/>
                <w:sz w:val="20"/>
                <w:szCs w:val="20"/>
                <w:lang w:eastAsia="pl-PL"/>
              </w:rPr>
              <w:t>BRAF</w:t>
            </w:r>
            <w:r w:rsidR="001A03D8">
              <w:rPr>
                <w:rFonts w:ascii="Calibri" w:hAnsi="Calibri" w:cs="Calibri"/>
                <w:color w:val="auto"/>
                <w:sz w:val="20"/>
                <w:szCs w:val="20"/>
                <w:lang w:eastAsia="pl-PL"/>
              </w:rPr>
              <w:t>. Zestaw na 64</w:t>
            </w:r>
            <w:r w:rsidRPr="007A34E9">
              <w:rPr>
                <w:rFonts w:ascii="Calibri" w:hAnsi="Calibri" w:cs="Calibri"/>
                <w:color w:val="auto"/>
                <w:sz w:val="20"/>
                <w:szCs w:val="20"/>
                <w:lang w:eastAsia="pl-PL"/>
              </w:rPr>
              <w:t xml:space="preserve"> reakc</w:t>
            </w:r>
            <w:r w:rsidR="001A03D8">
              <w:rPr>
                <w:rFonts w:ascii="Calibri" w:hAnsi="Calibri" w:cs="Calibri"/>
                <w:color w:val="auto"/>
                <w:sz w:val="20"/>
                <w:szCs w:val="20"/>
                <w:lang w:eastAsia="pl-PL"/>
              </w:rPr>
              <w:t>je</w:t>
            </w:r>
            <w:bookmarkStart w:id="0" w:name="_GoBack"/>
            <w:bookmarkEnd w:id="0"/>
            <w:r w:rsidRPr="007A34E9">
              <w:rPr>
                <w:rFonts w:ascii="Calibri" w:hAnsi="Calibri" w:cs="Calibri"/>
                <w:color w:val="auto"/>
                <w:sz w:val="20"/>
                <w:szCs w:val="20"/>
                <w:lang w:eastAsia="pl-PL"/>
              </w:rPr>
              <w:t xml:space="preserve"> , do użycia z  dwukanałowym systemem detekcji</w:t>
            </w:r>
            <w:r w:rsidR="005C2CAB">
              <w:rPr>
                <w:rFonts w:ascii="Calibri" w:hAnsi="Calibri" w:cs="Calibri"/>
                <w:color w:val="auto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087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5B0AE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Zestaw do Real-Time PCR (CE-IVD), do wykrywania mutacji w genie </w:t>
            </w:r>
            <w:r w:rsidRPr="007A34E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EGFR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 52 próbkach z bloczka parafinowego do użycia z Cobas z480, Rotor-Gene Q i Bio-Rad CFX96 z dwukanałowym formatem detekcji</w:t>
            </w:r>
            <w:r w:rsidR="005C2CAB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5B0AEE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3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5C2CA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Zestaw do Real-Time PCR, do wykrywania mutacji w genie </w:t>
            </w:r>
            <w:r w:rsidRPr="007A34E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C-KIT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(CE-IVD) w 44 próbkach do użycia z Cobas z480, Rotor-Gene Q i Bio-Rad CFX96</w:t>
            </w:r>
            <w:r w:rsidR="005C2CAB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70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816291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Zestaw do Real-Time PCR  (CE-IVD) do wykrywania mutacji w genach </w:t>
            </w:r>
            <w:r w:rsidRPr="007A34E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RAS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 40 próbkach uzyskanych z wolnkrążacego DNA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275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lastRenderedPageBreak/>
              <w:t>8.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F26C1C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Zestaw do jednoetapowego wykrywania techniką Real-Time PCR (CE-IVD) produktów rearanżacji genów PML:RARA (bcr1,bcr2,bcr3), do wykonania 24 oznaczeń na aparatach z Cobas z480, Bio-Rad CFX96 z dwukanałowym formatem detekcji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265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5B0AE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Zestaw (CE-IVD) do wykrywania mutacji IDH1/2 w kodonach w materiale utrwalonym w bloczku parafinowym oraz krwi obwodowej, zestaw na 38 reakcji do użycia z Cobas z480, Rotor-Gene Q i Bio-Rad CFX96, do użycia z  dwukanałowym systemem detekcji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7A34E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5B0AE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Zestaw  (CE-IVD) do wykrywania mutacji somatycznych metodą real-time PCR w materiale z bloczka parafinowego w przypadku nowotworów tarczycy, zestaw na 64 reakcje z dwukanałowym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formatem detekcji.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5B0AEE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7A34E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50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11.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5B0AE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Zestaw (CE-IVD) do wykrywania mutacji somatycznych w materiale izolowanym z bloczka  FFPE w nowotworach podścieliskowych przewodu pokarmowego, Mutacje obejmują geny:  </w:t>
            </w:r>
            <w:r w:rsidRPr="007A34E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PDGFRA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(ekson 18)</w:t>
            </w:r>
            <w:r w:rsidRPr="007A34E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 xml:space="preserve"> i C-KIT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( eksony: 9,11,17,13),  zestaw na 44 reakcje  z wielokanałowym systemem detekcji,  do użycia z Cobas z480, Rotor-Gene Q i Bio-Rad CFX96,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7A34E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7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12.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5B0AE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Zestaw do Real-Time PCR (CE-IVD), do wykrywania mutacji w genie </w:t>
            </w:r>
            <w:r w:rsidRPr="007A34E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eastAsia="pl-PL"/>
              </w:rPr>
              <w:t>EGFR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 52 próbkach z biopsji płynnej do użycia z Cobas z480 i Bio-Rad CFX96 z dwukanałowym formatem detekcji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10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13.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816291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Zestaw  (CE-IVD) do wykrywania metylacji promotora genu MGMT wraz z zestawem konwersji bisulfidowej w przypadku glejaków do użycia z Cobas z480i Bio-Rad CFX96, do użycia z 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dwukanałowym systemem detekcji.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275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14.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5B0AE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Zestaw (CE-IVD) do jednoetapowego wykrywania i oznaczania ilości transkrypu fuzyjnego e1a2 genów BCR::ABL (P190 mbcr), zestaw na 46 próbek wykonanych w dwukrotnym powtórzeniu 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do użycia z Cobas z480 i Bio-Rad CFX96 i z dwuka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nałowym systemem detekcji.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7A34E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15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lastRenderedPageBreak/>
              <w:t>15.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816291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Zestaw (CE-IVD) do jednoetapowego wykrywania i oznaczania ilości transkrypu fuzyjnego b2a2 i b3a2 genów BCR::ABL (P210,Mbcr), zestaw na 46 próbek,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do użycia z Cobas z480 i Bio-Rad CFX96 i z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dwukanołowym systemem detekcji.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02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16.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816291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bCs/>
                <w:color w:val="000000" w:themeColor="text1"/>
                <w:sz w:val="20"/>
                <w:szCs w:val="20"/>
                <w:lang w:eastAsia="pl-PL"/>
              </w:rPr>
              <w:t xml:space="preserve">Zestaw do ustalania poziomu amplifikowanego DNA wyizolowanego z bloczków parafinowych, do sprawdzenia 50 próbek,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do użycia z Cobas z480, Rotor-Gene Q i Bio-Rad CFX96 i z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dwukanałowym systemem detekcji.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27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17.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FA6FC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>Zestaw do wykrywania wewnętrznej duplikacji tandemowej w genie FLT3 oraz mutacji punktowej D835Y z zastosowaniem starterów wyznakowanych FAM do reakcji multiplex PCR i wykorzystaniem elektroforezy kapilarnej do detekcji (CE-IVD) , zestaw do wykonania  25 oznaczeń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4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18.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816291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 xml:space="preserve">Zestaw do wykrywania mutacji somatycznych W515A/L/R/K w eksonie 10 genu </w:t>
            </w:r>
            <w:r w:rsidRPr="007A34E9">
              <w:rPr>
                <w:rFonts w:ascii="Calibri" w:hAnsi="Calibri" w:cs="Calibri"/>
                <w:i/>
                <w:color w:val="000000" w:themeColor="text1"/>
                <w:sz w:val="20"/>
                <w:szCs w:val="20"/>
                <w:lang w:val="en-US"/>
              </w:rPr>
              <w:t>MPL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do użycia z Cobas z480, Rotor-Gene Q i Bio-Rad CFX96 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i dwukanałowym systemem detecji.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816291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7A34E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417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19.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FA6FC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Zestaw do wykrywania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val="en-US"/>
              </w:rPr>
              <w:t xml:space="preserve">techniką qPCR wybranych przez zamawiającego z listy transkryptów fuzyjnych: AML1-ETO, TCF3/PBX1, MLL-AF4, TEL-AML1, CBFB-MYH11, PML-RARA bcr1i bcr2 oraz bcr3, minor BCRABL1(p190) e1a2, micro BCR-ABL1(p230) e19a2 w próbkach szpiku kostnego  lub krwi obwodowej,  do użycia 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z Bio-Rad CFX96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7A34E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417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20.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FA6FC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Zestaw CE-IVD do oznaczania techniką real-Time PCR chimeryzmu potransplantacyjnego, zestaw 16 polimorficznych markerów  insercyjno-delecyjnych na podstawie sond hydrolizujących znakowanych FAM i HEX jak również  płeć genetyczna i czynnik RH,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do użycia 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z Cobas z480, do wykonania 25 oznaczeń. Zestaw kompatybilny jest z polimerazą TaqMan environmental mastermix 2.0, zamawianej osobno.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Limit detekcji ludzkiego DNA dla testu wynosi 0,01%. Kit jest w pełni kompatybilny z opisanym w pozycji nr. 21 zestawem do monitorowania występowania chimeryzmów. Zestaw umożliwia wykonanie 10 oznaczeń - 5 par dawca-biorca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7A34E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66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lastRenderedPageBreak/>
              <w:t>21.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FA6FC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Zestawy do monitorowania markerów informatywnych, zidentyfikowanych przy użyciu kitów screeningowych tego samego producenta. Zestaw zawiera Primery i sondy wykrywające jeden z 32 polimorfizmów badanych w zestawach screeningowych. LoQ dla zestawu wynosi 0,1% , a LoD 0,01%. Produkt spełnia wymagania jakościowe wynikające z normy ISO-9001. Zestaw umożliwia wykonanie 25 reakcji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7A34E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417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22.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FA6FC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Zestaw odczynników do konwersji wodorosiarczynem (CE-IVD) bazuje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na procedurach manualnych. Umożliwia   przeprocesowanie 48 próbek. W skład zestawu wchodzą liofilizowany odczynnik do konwersji, diluent, bufor konwersyjny, bufor  wiążący, bufor przemywający, bufor do desulfonacji, bufor elucyjny, kolumienki, probówki zbiorcze</w:t>
            </w:r>
            <w:r w:rsidR="0081629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23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23.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FA6FC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Zestaw do określania statusu metylacyjnego genów PCDH17, POU4F2 i PENK, zwalidowany na DNA wyizolowany z moczu . Obejmuje badanie 48 próbek. Detekcja na barwnikach fluorescencyjnych FAM, VIC, Cy5, Texas Red. Czułość testu na poziomie 1%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FA6FC3" w:rsidP="00816291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791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24.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FA6FC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Zestaw do wykrywania mutacji somatycznych  w genie </w:t>
            </w:r>
            <w:r w:rsidRPr="007A34E9">
              <w:rPr>
                <w:rFonts w:ascii="Calibri" w:hAnsi="Calibri" w:cs="Calibri"/>
                <w:bCs/>
                <w:i/>
                <w:color w:val="000000" w:themeColor="text1"/>
                <w:sz w:val="20"/>
                <w:szCs w:val="20"/>
              </w:rPr>
              <w:t xml:space="preserve">POLE </w:t>
            </w:r>
            <w:r w:rsidRPr="007A34E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metodami molekularnymi</w:t>
            </w:r>
            <w:r w:rsidRPr="007A34E9">
              <w:rPr>
                <w:rFonts w:ascii="Calibri" w:hAnsi="Calibri" w:cs="Calibri"/>
                <w:bCs/>
                <w:i/>
                <w:color w:val="000000" w:themeColor="text1"/>
                <w:sz w:val="20"/>
                <w:szCs w:val="20"/>
              </w:rPr>
              <w:t xml:space="preserve">, </w:t>
            </w:r>
            <w:r w:rsidRPr="007A34E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zwalidowany na aparat QX200 BioRad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FA6FC3" w:rsidP="00816291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26C1C" w:rsidRPr="007A34E9" w:rsidTr="005C2CAB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027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25.</w:t>
            </w:r>
          </w:p>
        </w:tc>
        <w:tc>
          <w:tcPr>
            <w:tcW w:w="4965" w:type="dxa"/>
            <w:shd w:val="clear" w:color="auto" w:fill="FFFFFF"/>
          </w:tcPr>
          <w:p w:rsidR="00F26C1C" w:rsidRPr="007A34E9" w:rsidRDefault="00D33A55" w:rsidP="00FA6FC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A34E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Zestaw do oznaczania mutacji w genie KRAS G12C, kompatybilny z zestawem do oznaczania mutacji w eksonie 2,3,4 genu KRAS. Zwalidowany na   aparat </w:t>
            </w:r>
            <w:r w:rsidRPr="007A34E9">
              <w:rPr>
                <w:rFonts w:ascii="Calibri" w:hAnsi="Calibri" w:cs="Calibri"/>
                <w:color w:val="000000" w:themeColor="text1"/>
                <w:sz w:val="20"/>
                <w:szCs w:val="20"/>
                <w:lang w:eastAsia="pl-PL"/>
              </w:rPr>
              <w:t>Cobas z480, i Bio-Rad CFX96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26C1C" w:rsidRPr="007A34E9" w:rsidRDefault="00FA6FC3" w:rsidP="003F2090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26C1C" w:rsidRPr="007A34E9" w:rsidRDefault="00FA6FC3" w:rsidP="00816291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A34E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F26C1C" w:rsidRPr="007A34E9" w:rsidRDefault="00F26C1C" w:rsidP="003F2090">
            <w:pPr>
              <w:snapToGrid w:val="0"/>
              <w:spacing w:after="2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F2D1E" w:rsidRPr="007A34E9" w:rsidTr="007A34E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9F2D1E" w:rsidRPr="007A34E9" w:rsidRDefault="009F2D1E" w:rsidP="003F2090">
            <w:pPr>
              <w:snapToGrid w:val="0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A34E9">
              <w:rPr>
                <w:rFonts w:ascii="Calibri" w:hAnsi="Calibri" w:cs="Calibri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9F2D1E" w:rsidRPr="007A34E9" w:rsidRDefault="009F2D1E" w:rsidP="007A34E9">
      <w:pPr>
        <w:rPr>
          <w:rFonts w:ascii="Calibri" w:hAnsi="Calibri" w:cs="Calibri"/>
          <w:sz w:val="20"/>
          <w:szCs w:val="20"/>
        </w:rPr>
      </w:pPr>
      <w:r w:rsidRPr="007A34E9">
        <w:rPr>
          <w:rFonts w:ascii="Calibri" w:hAnsi="Calibri" w:cs="Calibri"/>
          <w:sz w:val="20"/>
          <w:szCs w:val="20"/>
        </w:rPr>
        <w:t>*wypełnia Wykonawca</w:t>
      </w:r>
    </w:p>
    <w:p w:rsidR="00F414FE" w:rsidRPr="005C2CAB" w:rsidRDefault="00F414FE" w:rsidP="007A34E9">
      <w:pPr>
        <w:suppressAutoHyphens w:val="0"/>
        <w:spacing w:line="360" w:lineRule="auto"/>
        <w:jc w:val="both"/>
        <w:rPr>
          <w:rFonts w:ascii="Calibri" w:hAnsi="Calibri" w:cs="Calibri"/>
          <w:bCs/>
          <w:color w:val="auto"/>
          <w:kern w:val="0"/>
          <w:sz w:val="18"/>
          <w:szCs w:val="18"/>
          <w:lang w:eastAsia="pl-PL"/>
        </w:rPr>
      </w:pPr>
      <w:r w:rsidRPr="005C2CAB">
        <w:rPr>
          <w:rFonts w:ascii="Calibri" w:eastAsia="NSimSun" w:hAnsi="Calibri" w:cs="Calibri"/>
          <w:b/>
          <w:bCs/>
          <w:iCs/>
          <w:color w:val="auto"/>
          <w:kern w:val="3"/>
          <w:sz w:val="18"/>
          <w:szCs w:val="18"/>
          <w:lang w:eastAsia="zh-CN" w:bidi="hi-IN"/>
        </w:rPr>
        <w:t xml:space="preserve">UWAGA (jeżeli dotyczy): </w:t>
      </w:r>
    </w:p>
    <w:p w:rsidR="00F414FE" w:rsidRPr="005C2CAB" w:rsidRDefault="00F414FE" w:rsidP="007A34E9">
      <w:pPr>
        <w:autoSpaceDN w:val="0"/>
        <w:jc w:val="both"/>
        <w:rPr>
          <w:rFonts w:ascii="Calibri" w:eastAsia="NSimSun" w:hAnsi="Calibri" w:cs="Calibri"/>
          <w:bCs/>
          <w:color w:val="auto"/>
          <w:kern w:val="3"/>
          <w:sz w:val="18"/>
          <w:szCs w:val="18"/>
          <w:lang w:eastAsia="zh-CN" w:bidi="hi-IN"/>
        </w:rPr>
      </w:pPr>
      <w:r w:rsidRPr="005C2CAB">
        <w:rPr>
          <w:rFonts w:ascii="Calibri" w:eastAsia="NSimSun" w:hAnsi="Calibri" w:cs="Calibri"/>
          <w:bCs/>
          <w:iCs/>
          <w:color w:val="auto"/>
          <w:kern w:val="3"/>
          <w:sz w:val="18"/>
          <w:szCs w:val="18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F414FE" w:rsidRPr="005C2CAB" w:rsidRDefault="00F414FE" w:rsidP="007A34E9">
      <w:pPr>
        <w:autoSpaceDN w:val="0"/>
        <w:jc w:val="both"/>
        <w:rPr>
          <w:rFonts w:ascii="Calibri" w:eastAsia="NSimSun" w:hAnsi="Calibri" w:cs="Calibri"/>
          <w:bCs/>
          <w:iCs/>
          <w:color w:val="auto"/>
          <w:kern w:val="3"/>
          <w:sz w:val="18"/>
          <w:szCs w:val="18"/>
          <w:lang w:eastAsia="zh-CN" w:bidi="hi-IN"/>
        </w:rPr>
      </w:pPr>
      <w:r w:rsidRPr="005C2CAB">
        <w:rPr>
          <w:rFonts w:ascii="Calibri" w:eastAsia="NSimSun" w:hAnsi="Calibri" w:cs="Calibri"/>
          <w:bCs/>
          <w:iCs/>
          <w:color w:val="auto"/>
          <w:kern w:val="3"/>
          <w:sz w:val="18"/>
          <w:szCs w:val="18"/>
          <w:lang w:eastAsia="zh-CN" w:bidi="hi-IN"/>
        </w:rPr>
        <w:t xml:space="preserve">-Wykonawca jest zobowiązany dostarczyć </w:t>
      </w:r>
      <w:r w:rsidRPr="005C2CAB">
        <w:rPr>
          <w:rFonts w:ascii="Calibri" w:eastAsia="NSimSun" w:hAnsi="Calibri" w:cs="Calibri"/>
          <w:b/>
          <w:bCs/>
          <w:iCs/>
          <w:color w:val="auto"/>
          <w:kern w:val="3"/>
          <w:sz w:val="18"/>
          <w:szCs w:val="18"/>
          <w:lang w:eastAsia="zh-CN" w:bidi="hi-IN"/>
        </w:rPr>
        <w:t>świadectwo jakości</w:t>
      </w:r>
      <w:r w:rsidRPr="005C2CAB">
        <w:rPr>
          <w:rFonts w:ascii="Calibri" w:eastAsia="NSimSun" w:hAnsi="Calibri" w:cs="Calibri"/>
          <w:bCs/>
          <w:iCs/>
          <w:color w:val="auto"/>
          <w:kern w:val="3"/>
          <w:sz w:val="18"/>
          <w:szCs w:val="18"/>
          <w:lang w:eastAsia="zh-CN" w:bidi="hi-IN"/>
        </w:rPr>
        <w:t xml:space="preserve"> dla danej partii odczynników przy każdorazowej dostawie wyżej wymienionego asortymentu.</w:t>
      </w:r>
    </w:p>
    <w:p w:rsidR="009F2D1E" w:rsidRPr="005C2CAB" w:rsidRDefault="00F414FE" w:rsidP="005C2CAB">
      <w:pPr>
        <w:autoSpaceDN w:val="0"/>
        <w:jc w:val="both"/>
        <w:rPr>
          <w:rFonts w:ascii="Calibri" w:eastAsia="NSimSun" w:hAnsi="Calibri" w:cs="Calibri"/>
          <w:bCs/>
          <w:iCs/>
          <w:color w:val="auto"/>
          <w:kern w:val="3"/>
          <w:sz w:val="18"/>
          <w:szCs w:val="18"/>
          <w:lang w:eastAsia="zh-CN" w:bidi="hi-IN"/>
        </w:rPr>
      </w:pPr>
      <w:r w:rsidRPr="005C2CAB">
        <w:rPr>
          <w:rFonts w:ascii="Calibri" w:eastAsia="NSimSun" w:hAnsi="Calibri" w:cs="Calibri"/>
          <w:bCs/>
          <w:iCs/>
          <w:color w:val="auto"/>
          <w:kern w:val="3"/>
          <w:sz w:val="18"/>
          <w:szCs w:val="18"/>
          <w:lang w:eastAsia="zh-CN" w:bidi="hi-IN"/>
        </w:rPr>
        <w:t xml:space="preserve">-Wykonawca jest zobowiązany dostarczyć </w:t>
      </w:r>
      <w:r w:rsidRPr="005C2CAB">
        <w:rPr>
          <w:rFonts w:ascii="Calibri" w:eastAsia="NSimSun" w:hAnsi="Calibri" w:cs="Calibri"/>
          <w:b/>
          <w:bCs/>
          <w:iCs/>
          <w:color w:val="auto"/>
          <w:kern w:val="3"/>
          <w:sz w:val="18"/>
          <w:szCs w:val="18"/>
          <w:lang w:eastAsia="zh-CN" w:bidi="hi-IN"/>
        </w:rPr>
        <w:t>kartę charakterystyki</w:t>
      </w:r>
      <w:r w:rsidRPr="005C2CAB">
        <w:rPr>
          <w:rFonts w:ascii="Calibri" w:eastAsia="NSimSun" w:hAnsi="Calibri" w:cs="Calibri"/>
          <w:bCs/>
          <w:iCs/>
          <w:color w:val="auto"/>
          <w:kern w:val="3"/>
          <w:sz w:val="18"/>
          <w:szCs w:val="18"/>
          <w:lang w:eastAsia="zh-CN" w:bidi="hi-IN"/>
        </w:rPr>
        <w:t xml:space="preserve"> do każdego z wyżej wymienionych odczynników wraz z pierwszą dostawą.</w:t>
      </w:r>
      <w:r w:rsidR="005C2CAB">
        <w:rPr>
          <w:rFonts w:ascii="Calibri" w:hAnsi="Calibri" w:cs="Calibri"/>
          <w:b/>
          <w:color w:val="auto"/>
          <w:sz w:val="18"/>
          <w:szCs w:val="18"/>
        </w:rPr>
        <w:tab/>
      </w:r>
      <w:r w:rsidR="005C2CAB">
        <w:rPr>
          <w:rFonts w:ascii="Calibri" w:hAnsi="Calibri" w:cs="Calibri"/>
          <w:b/>
          <w:color w:val="auto"/>
          <w:sz w:val="18"/>
          <w:szCs w:val="18"/>
        </w:rPr>
        <w:tab/>
      </w:r>
      <w:r w:rsidR="005C2CAB">
        <w:rPr>
          <w:rFonts w:ascii="Calibri" w:hAnsi="Calibri" w:cs="Calibri"/>
          <w:b/>
          <w:color w:val="auto"/>
          <w:sz w:val="18"/>
          <w:szCs w:val="18"/>
        </w:rPr>
        <w:tab/>
      </w:r>
      <w:r w:rsidR="005C2CAB">
        <w:rPr>
          <w:rFonts w:ascii="Calibri" w:hAnsi="Calibri" w:cs="Calibri"/>
          <w:b/>
          <w:color w:val="auto"/>
          <w:sz w:val="18"/>
          <w:szCs w:val="18"/>
        </w:rPr>
        <w:tab/>
      </w:r>
      <w:r w:rsidR="005C2CAB">
        <w:rPr>
          <w:rFonts w:ascii="Calibri" w:hAnsi="Calibri" w:cs="Calibri"/>
          <w:b/>
          <w:color w:val="auto"/>
          <w:sz w:val="18"/>
          <w:szCs w:val="18"/>
        </w:rPr>
        <w:tab/>
      </w:r>
    </w:p>
    <w:p w:rsidR="005C2CAB" w:rsidRDefault="009F2D1E" w:rsidP="005C2CAB">
      <w:pPr>
        <w:jc w:val="center"/>
        <w:rPr>
          <w:rFonts w:ascii="Calibri" w:hAnsi="Calibri" w:cs="Calibri"/>
          <w:color w:val="auto"/>
          <w:sz w:val="18"/>
          <w:szCs w:val="18"/>
        </w:rPr>
      </w:pPr>
      <w:r w:rsidRPr="005C2CAB">
        <w:rPr>
          <w:rFonts w:ascii="Calibri" w:hAnsi="Calibri" w:cs="Calibri"/>
          <w:b/>
          <w:color w:val="auto"/>
          <w:sz w:val="18"/>
          <w:szCs w:val="18"/>
        </w:rPr>
        <w:tab/>
      </w:r>
      <w:r w:rsidRPr="005C2CAB">
        <w:rPr>
          <w:rFonts w:ascii="Calibri" w:hAnsi="Calibri" w:cs="Calibri"/>
          <w:b/>
          <w:color w:val="auto"/>
          <w:sz w:val="18"/>
          <w:szCs w:val="18"/>
        </w:rPr>
        <w:tab/>
      </w:r>
      <w:r w:rsidRPr="005C2CAB">
        <w:rPr>
          <w:rFonts w:ascii="Calibri" w:hAnsi="Calibri" w:cs="Calibri"/>
          <w:b/>
          <w:color w:val="auto"/>
          <w:sz w:val="18"/>
          <w:szCs w:val="18"/>
        </w:rPr>
        <w:tab/>
      </w:r>
      <w:r w:rsidRPr="005C2CAB">
        <w:rPr>
          <w:rFonts w:ascii="Calibri" w:hAnsi="Calibri" w:cs="Calibri"/>
          <w:b/>
          <w:color w:val="auto"/>
          <w:sz w:val="18"/>
          <w:szCs w:val="18"/>
        </w:rPr>
        <w:tab/>
      </w:r>
      <w:r w:rsidRPr="005C2CAB">
        <w:rPr>
          <w:rFonts w:ascii="Calibri" w:hAnsi="Calibri" w:cs="Calibri"/>
          <w:b/>
          <w:color w:val="auto"/>
          <w:sz w:val="18"/>
          <w:szCs w:val="18"/>
        </w:rPr>
        <w:tab/>
      </w:r>
      <w:r w:rsidRPr="005C2CAB">
        <w:rPr>
          <w:rFonts w:ascii="Calibri" w:hAnsi="Calibri" w:cs="Calibri"/>
          <w:b/>
          <w:color w:val="auto"/>
          <w:sz w:val="18"/>
          <w:szCs w:val="18"/>
        </w:rPr>
        <w:tab/>
      </w:r>
      <w:r w:rsidRPr="005C2CAB">
        <w:rPr>
          <w:rFonts w:ascii="Calibri" w:hAnsi="Calibri" w:cs="Calibri"/>
          <w:b/>
          <w:color w:val="auto"/>
          <w:sz w:val="18"/>
          <w:szCs w:val="18"/>
        </w:rPr>
        <w:tab/>
      </w:r>
      <w:r w:rsidRPr="005C2CAB">
        <w:rPr>
          <w:rFonts w:ascii="Calibri" w:hAnsi="Calibri" w:cs="Calibri"/>
          <w:b/>
          <w:color w:val="auto"/>
          <w:sz w:val="18"/>
          <w:szCs w:val="18"/>
        </w:rPr>
        <w:tab/>
      </w:r>
      <w:r w:rsidRPr="005C2CAB">
        <w:rPr>
          <w:rFonts w:ascii="Calibri" w:hAnsi="Calibri" w:cs="Calibri"/>
          <w:b/>
          <w:color w:val="auto"/>
          <w:sz w:val="18"/>
          <w:szCs w:val="18"/>
        </w:rPr>
        <w:tab/>
      </w:r>
      <w:r w:rsidR="005C2CAB">
        <w:rPr>
          <w:rFonts w:ascii="Calibri" w:hAnsi="Calibri" w:cs="Calibri"/>
          <w:b/>
          <w:color w:val="auto"/>
          <w:sz w:val="18"/>
          <w:szCs w:val="18"/>
        </w:rPr>
        <w:t xml:space="preserve">                                                                                                           </w:t>
      </w:r>
      <w:r w:rsidRPr="005C2CAB">
        <w:rPr>
          <w:rFonts w:ascii="Calibri" w:hAnsi="Calibri" w:cs="Calibri"/>
          <w:color w:val="auto"/>
          <w:sz w:val="18"/>
          <w:szCs w:val="18"/>
        </w:rPr>
        <w:t>……………………………………………………</w:t>
      </w:r>
    </w:p>
    <w:p w:rsidR="008C5EFE" w:rsidRPr="005C2CAB" w:rsidRDefault="005C2CAB" w:rsidP="005C2CAB">
      <w:pPr>
        <w:jc w:val="center"/>
        <w:rPr>
          <w:rFonts w:ascii="Calibri" w:hAnsi="Calibri" w:cs="Calibri"/>
          <w:color w:val="auto"/>
          <w:sz w:val="18"/>
          <w:szCs w:val="18"/>
        </w:rPr>
      </w:pPr>
      <w:r>
        <w:rPr>
          <w:rFonts w:ascii="Calibri" w:hAnsi="Calibri" w:cs="Calibri"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9F2D1E" w:rsidRPr="005C2CAB">
        <w:rPr>
          <w:rFonts w:ascii="Calibri" w:hAnsi="Calibri" w:cs="Calibri"/>
          <w:color w:val="auto"/>
          <w:sz w:val="18"/>
          <w:szCs w:val="18"/>
        </w:rPr>
        <w:t>podpis osoby upoważn</w:t>
      </w:r>
      <w:r>
        <w:rPr>
          <w:rFonts w:ascii="Calibri" w:hAnsi="Calibri" w:cs="Calibri"/>
          <w:color w:val="auto"/>
          <w:sz w:val="18"/>
          <w:szCs w:val="18"/>
        </w:rPr>
        <w:t>ionej do reprezentacji Wykonawc</w:t>
      </w:r>
      <w:r w:rsidR="002F56C1">
        <w:rPr>
          <w:rFonts w:ascii="Calibri" w:hAnsi="Calibri" w:cs="Calibri"/>
          <w:color w:val="auto"/>
          <w:sz w:val="18"/>
          <w:szCs w:val="18"/>
        </w:rPr>
        <w:t>y</w:t>
      </w:r>
    </w:p>
    <w:p w:rsidR="00FE603B" w:rsidRPr="007A34E9" w:rsidRDefault="00D84D31" w:rsidP="00D84D31">
      <w:pPr>
        <w:rPr>
          <w:rFonts w:ascii="Calibri" w:eastAsia="NSimSun" w:hAnsi="Calibri" w:cs="Calibri"/>
          <w:b/>
          <w:color w:val="auto"/>
          <w:kern w:val="3"/>
          <w:sz w:val="22"/>
          <w:szCs w:val="22"/>
          <w:lang w:eastAsia="zh-CN" w:bidi="hi-IN"/>
        </w:rPr>
      </w:pPr>
      <w:r w:rsidRPr="007A34E9">
        <w:rPr>
          <w:rFonts w:ascii="Calibri" w:eastAsia="NSimSun" w:hAnsi="Calibri" w:cs="Calibri"/>
          <w:b/>
          <w:color w:val="auto"/>
          <w:kern w:val="3"/>
          <w:sz w:val="22"/>
          <w:szCs w:val="22"/>
          <w:lang w:eastAsia="zh-CN" w:bidi="hi-IN"/>
        </w:rPr>
        <w:lastRenderedPageBreak/>
        <w:t>Załącznik nr 2</w:t>
      </w:r>
      <w:r w:rsidR="00FE603B" w:rsidRPr="007A34E9">
        <w:rPr>
          <w:rFonts w:ascii="Calibri" w:eastAsia="NSimSun" w:hAnsi="Calibri" w:cs="Calibri"/>
          <w:b/>
          <w:color w:val="auto"/>
          <w:kern w:val="3"/>
          <w:sz w:val="22"/>
          <w:szCs w:val="22"/>
          <w:lang w:eastAsia="zh-CN" w:bidi="hi-IN"/>
        </w:rPr>
        <w:t>.2</w:t>
      </w:r>
      <w:r w:rsidRPr="007A34E9">
        <w:rPr>
          <w:rFonts w:ascii="Calibri" w:eastAsia="NSimSun" w:hAnsi="Calibri" w:cs="Calibri"/>
          <w:b/>
          <w:color w:val="auto"/>
          <w:kern w:val="3"/>
          <w:sz w:val="22"/>
          <w:szCs w:val="22"/>
          <w:lang w:eastAsia="zh-CN" w:bidi="hi-IN"/>
        </w:rPr>
        <w:t xml:space="preserve"> – Kosztorys Ofertowy</w:t>
      </w:r>
    </w:p>
    <w:p w:rsidR="00D84D31" w:rsidRPr="007A34E9" w:rsidRDefault="00FE603B" w:rsidP="00D84D31">
      <w:pPr>
        <w:autoSpaceDN w:val="0"/>
        <w:textAlignment w:val="baseline"/>
        <w:rPr>
          <w:rFonts w:ascii="Calibri" w:eastAsia="NSimSun" w:hAnsi="Calibri" w:cs="Calibri"/>
          <w:b/>
          <w:color w:val="auto"/>
          <w:kern w:val="3"/>
          <w:sz w:val="22"/>
          <w:szCs w:val="22"/>
          <w:lang w:eastAsia="zh-CN" w:bidi="hi-IN"/>
        </w:rPr>
      </w:pPr>
      <w:r w:rsidRPr="007A34E9">
        <w:rPr>
          <w:rFonts w:ascii="Calibri" w:hAnsi="Calibri" w:cs="Calibri"/>
          <w:b/>
          <w:sz w:val="22"/>
          <w:szCs w:val="22"/>
          <w:lang w:eastAsia="zh-CN"/>
        </w:rPr>
        <w:t>Część 2 – Odczynniki do analizy MLPA oraz MS-MLPA;</w:t>
      </w:r>
    </w:p>
    <w:p w:rsidR="00D84D31" w:rsidRPr="007A34E9" w:rsidRDefault="00D84D31" w:rsidP="00F414FE">
      <w:pPr>
        <w:tabs>
          <w:tab w:val="left" w:pos="9015"/>
        </w:tabs>
        <w:rPr>
          <w:rFonts w:ascii="Calibri" w:eastAsia="NSimSun" w:hAnsi="Calibri" w:cs="Calibri"/>
          <w:sz w:val="22"/>
          <w:szCs w:val="22"/>
          <w:lang w:eastAsia="zh-CN" w:bidi="hi-IN"/>
        </w:rPr>
      </w:pPr>
    </w:p>
    <w:tbl>
      <w:tblPr>
        <w:tblW w:w="14469" w:type="dxa"/>
        <w:tblInd w:w="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933"/>
        <w:gridCol w:w="1134"/>
        <w:gridCol w:w="992"/>
        <w:gridCol w:w="1417"/>
        <w:gridCol w:w="1985"/>
        <w:gridCol w:w="1701"/>
        <w:gridCol w:w="1748"/>
      </w:tblGrid>
      <w:tr w:rsidR="00D84D31" w:rsidRPr="007A34E9" w:rsidTr="008C5EFE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D31" w:rsidRPr="007A34E9" w:rsidRDefault="00D84D31" w:rsidP="00331B38">
            <w:pPr>
              <w:pStyle w:val="TableContents"/>
              <w:ind w:left="-64" w:right="-12"/>
              <w:jc w:val="center"/>
              <w:rPr>
                <w:rFonts w:ascii="Calibri" w:hAnsi="Calibri" w:cs="Calibri"/>
                <w:szCs w:val="22"/>
              </w:rPr>
            </w:pPr>
            <w:r w:rsidRPr="007A34E9">
              <w:rPr>
                <w:rFonts w:ascii="Calibri" w:hAnsi="Calibri" w:cs="Calibri"/>
                <w:szCs w:val="22"/>
              </w:rPr>
              <w:t>L.p.</w:t>
            </w:r>
          </w:p>
        </w:tc>
        <w:tc>
          <w:tcPr>
            <w:tcW w:w="4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D31" w:rsidRPr="007A34E9" w:rsidRDefault="00D84D31" w:rsidP="00331B38">
            <w:pPr>
              <w:pStyle w:val="TableContents"/>
              <w:jc w:val="center"/>
              <w:rPr>
                <w:rFonts w:ascii="Calibri" w:hAnsi="Calibri" w:cs="Calibri"/>
                <w:szCs w:val="22"/>
              </w:rPr>
            </w:pPr>
            <w:r w:rsidRPr="007A34E9">
              <w:rPr>
                <w:rFonts w:ascii="Calibri" w:hAnsi="Calibri" w:cs="Calibri"/>
                <w:szCs w:val="22"/>
              </w:rPr>
              <w:t>Asortyment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D31" w:rsidRPr="007A34E9" w:rsidRDefault="00D84D31" w:rsidP="00331B38">
            <w:pPr>
              <w:pStyle w:val="TableContents"/>
              <w:jc w:val="center"/>
              <w:rPr>
                <w:rFonts w:ascii="Calibri" w:hAnsi="Calibri" w:cs="Calibri"/>
                <w:szCs w:val="22"/>
              </w:rPr>
            </w:pPr>
            <w:r w:rsidRPr="007A34E9">
              <w:rPr>
                <w:rFonts w:ascii="Calibri" w:hAnsi="Calibri" w:cs="Calibri"/>
                <w:szCs w:val="22"/>
              </w:rPr>
              <w:t>Jednostka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D31" w:rsidRPr="007A34E9" w:rsidRDefault="00D84D31" w:rsidP="00331B38">
            <w:pPr>
              <w:pStyle w:val="TableContents"/>
              <w:jc w:val="center"/>
              <w:rPr>
                <w:rFonts w:ascii="Calibri" w:hAnsi="Calibri" w:cs="Calibri"/>
                <w:szCs w:val="22"/>
              </w:rPr>
            </w:pPr>
            <w:r w:rsidRPr="007A34E9">
              <w:rPr>
                <w:rFonts w:ascii="Calibri" w:hAnsi="Calibri" w:cs="Calibri"/>
                <w:szCs w:val="22"/>
              </w:rPr>
              <w:t>Ilość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D31" w:rsidRPr="007A34E9" w:rsidRDefault="00D84D31" w:rsidP="00331B38">
            <w:pPr>
              <w:pStyle w:val="TableContents"/>
              <w:jc w:val="center"/>
              <w:rPr>
                <w:rFonts w:ascii="Calibri" w:hAnsi="Calibri" w:cs="Calibri"/>
                <w:szCs w:val="22"/>
              </w:rPr>
            </w:pPr>
            <w:r w:rsidRPr="007A34E9">
              <w:rPr>
                <w:rFonts w:ascii="Calibri" w:hAnsi="Calibri" w:cs="Calibri"/>
                <w:szCs w:val="22"/>
              </w:rPr>
              <w:t>Cena jedn. brutto*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D31" w:rsidRPr="007A34E9" w:rsidRDefault="00D84D31" w:rsidP="00331B38">
            <w:pPr>
              <w:pStyle w:val="TableContents"/>
              <w:jc w:val="center"/>
              <w:rPr>
                <w:rFonts w:ascii="Calibri" w:hAnsi="Calibri" w:cs="Calibri"/>
                <w:szCs w:val="22"/>
              </w:rPr>
            </w:pPr>
            <w:r w:rsidRPr="007A34E9">
              <w:rPr>
                <w:rFonts w:ascii="Calibri" w:hAnsi="Calibri" w:cs="Calibri"/>
                <w:szCs w:val="22"/>
              </w:rPr>
              <w:t>Wartość całkowita brutto*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D31" w:rsidRPr="007A34E9" w:rsidRDefault="00D84D31" w:rsidP="00331B38">
            <w:pPr>
              <w:pStyle w:val="TableContents"/>
              <w:jc w:val="center"/>
              <w:rPr>
                <w:rFonts w:ascii="Calibri" w:hAnsi="Calibri" w:cs="Calibri"/>
                <w:szCs w:val="22"/>
              </w:rPr>
            </w:pPr>
            <w:r w:rsidRPr="007A34E9">
              <w:rPr>
                <w:rFonts w:ascii="Calibri" w:hAnsi="Calibri" w:cs="Calibri"/>
                <w:szCs w:val="22"/>
              </w:rPr>
              <w:t>Producent*</w:t>
            </w:r>
          </w:p>
        </w:tc>
        <w:tc>
          <w:tcPr>
            <w:tcW w:w="1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4D31" w:rsidRPr="007A34E9" w:rsidRDefault="00D84D31" w:rsidP="00331B38">
            <w:pPr>
              <w:pStyle w:val="TableContents"/>
              <w:jc w:val="center"/>
              <w:rPr>
                <w:rFonts w:ascii="Calibri" w:hAnsi="Calibri" w:cs="Calibri"/>
                <w:szCs w:val="22"/>
              </w:rPr>
            </w:pPr>
            <w:r w:rsidRPr="007A34E9">
              <w:rPr>
                <w:rFonts w:ascii="Calibri" w:hAnsi="Calibri" w:cs="Calibri"/>
                <w:szCs w:val="22"/>
              </w:rPr>
              <w:t>Numer katalogowy*</w:t>
            </w:r>
          </w:p>
        </w:tc>
      </w:tr>
      <w:tr w:rsidR="00D84D31" w:rsidRPr="007A34E9" w:rsidTr="008C5EF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072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933" w:type="dxa"/>
            <w:shd w:val="clear" w:color="auto" w:fill="FFFFFF"/>
          </w:tcPr>
          <w:p w:rsidR="00D84D31" w:rsidRPr="007A34E9" w:rsidRDefault="00D33A55" w:rsidP="00331B38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2"/>
                <w:szCs w:val="22"/>
                <w:lang w:eastAsia="pl-PL"/>
              </w:rPr>
              <w:t>Zestaw odczynników do przeprowadzenia reakcji multiplex: bufory, enzymy i znakowane barwnikiem fluorescencyjnym  (FAM) startery niezbędne do przeprowadzenia oceny względnej liczby kopii wybranych genów, do wykonania</w:t>
            </w:r>
            <w:r w:rsidR="005C2CAB">
              <w:rPr>
                <w:rFonts w:ascii="Calibri" w:hAnsi="Calibri" w:cs="Calibri"/>
                <w:color w:val="000000" w:themeColor="text1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4D31" w:rsidRPr="007A34E9" w:rsidRDefault="005C2CAB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</w:t>
            </w:r>
            <w:r w:rsidR="00D84D31" w:rsidRPr="007A34E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84D31" w:rsidRPr="007A34E9" w:rsidRDefault="00C10B60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1</w:t>
            </w:r>
            <w:r w:rsidR="005C2CAB">
              <w:rPr>
                <w:rFonts w:ascii="Calibri" w:hAnsi="Calibri" w:cs="Calibri"/>
                <w:sz w:val="22"/>
                <w:szCs w:val="22"/>
              </w:rPr>
              <w:t xml:space="preserve"> = 500 reakcji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4D31" w:rsidRPr="007A34E9" w:rsidTr="008C5EF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61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4933" w:type="dxa"/>
            <w:shd w:val="clear" w:color="auto" w:fill="FFFFFF"/>
          </w:tcPr>
          <w:p w:rsidR="00D84D31" w:rsidRPr="007A34E9" w:rsidRDefault="007A34E9" w:rsidP="00C10B60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2"/>
                <w:szCs w:val="22"/>
                <w:lang w:eastAsia="pl-PL"/>
              </w:rPr>
              <w:t>Mieszanina do 60 sond, które pokrywają eksony wybranych genów i pozwalają na ocenę liczby kopii w ich zakresie, do wykonania 25 próbek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84D31" w:rsidRPr="007A34E9" w:rsidRDefault="005C2CAB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4D31" w:rsidRPr="007A34E9" w:rsidTr="008C5EF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41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4933" w:type="dxa"/>
            <w:shd w:val="clear" w:color="auto" w:fill="FFFFFF"/>
          </w:tcPr>
          <w:p w:rsidR="00D84D31" w:rsidRPr="007A34E9" w:rsidRDefault="007A34E9" w:rsidP="00331B38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2"/>
                <w:szCs w:val="22"/>
                <w:lang w:eastAsia="pl-PL"/>
              </w:rPr>
              <w:t>Enzym restrykcyjny wrażliwy na metylację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84D31" w:rsidRPr="007A34E9" w:rsidRDefault="00C10B60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4D31" w:rsidRPr="007A34E9" w:rsidTr="008C5EF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117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4933" w:type="dxa"/>
            <w:shd w:val="clear" w:color="auto" w:fill="FFFFFF"/>
          </w:tcPr>
          <w:p w:rsidR="00D84D31" w:rsidRPr="007A34E9" w:rsidRDefault="007A34E9" w:rsidP="00331B38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2"/>
                <w:szCs w:val="22"/>
                <w:lang w:eastAsia="pl-PL"/>
              </w:rPr>
              <w:t>Mieszanina sond, które pokrywają eksony  i promotory wybranych genów, co pozwala na ocenę liczby kopii oraz ocenę statusu metylacji w wybranych genach , do wykonania 25 próbek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84D31" w:rsidRPr="007A34E9" w:rsidRDefault="005C2CAB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4D31" w:rsidRPr="007A34E9" w:rsidTr="008C5EF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7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4933" w:type="dxa"/>
            <w:shd w:val="clear" w:color="auto" w:fill="FFFFFF"/>
          </w:tcPr>
          <w:p w:rsidR="00D84D31" w:rsidRPr="007A34E9" w:rsidRDefault="007A34E9" w:rsidP="00331B38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2"/>
                <w:szCs w:val="22"/>
                <w:lang w:eastAsia="pl-PL"/>
              </w:rPr>
              <w:t>Kontrole DNA do oceny względnej liczby kopii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4D31" w:rsidRPr="007A34E9" w:rsidRDefault="005C2CAB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</w:t>
            </w:r>
            <w:r w:rsidR="00D84D31" w:rsidRPr="007A34E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84D31" w:rsidRPr="007A34E9" w:rsidRDefault="005C2CAB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4D31" w:rsidRPr="007A34E9" w:rsidTr="008C5EF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32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4933" w:type="dxa"/>
            <w:shd w:val="clear" w:color="auto" w:fill="FFFFFF"/>
          </w:tcPr>
          <w:p w:rsidR="00D84D31" w:rsidRPr="007A34E9" w:rsidRDefault="007A34E9" w:rsidP="00331B38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2"/>
                <w:szCs w:val="22"/>
                <w:lang w:eastAsia="pl-PL"/>
              </w:rPr>
              <w:t>Kontrola DNA do oceny metylacji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4D31" w:rsidRPr="007A34E9" w:rsidRDefault="005C2CAB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</w:t>
            </w:r>
            <w:r w:rsidR="00D84D31" w:rsidRPr="007A34E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84D31" w:rsidRPr="007A34E9" w:rsidRDefault="005C2CAB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4D31" w:rsidRPr="007A34E9" w:rsidTr="008C5EF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79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4933" w:type="dxa"/>
            <w:shd w:val="clear" w:color="auto" w:fill="FFFFFF"/>
          </w:tcPr>
          <w:p w:rsidR="00D84D31" w:rsidRPr="007A34E9" w:rsidRDefault="007A34E9" w:rsidP="00331B38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2"/>
                <w:szCs w:val="22"/>
                <w:lang w:eastAsia="pl-PL"/>
              </w:rPr>
              <w:t>Odczynnik do stabilizacji materiału genetycznego po ekstrakcji z krwi obwodowej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84D31" w:rsidRPr="007A34E9" w:rsidRDefault="00C10B60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FFFFFF"/>
            <w:vAlign w:val="center"/>
          </w:tcPr>
          <w:p w:rsidR="00D84D31" w:rsidRPr="007A34E9" w:rsidRDefault="00D84D31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3A55" w:rsidRPr="007A34E9" w:rsidTr="008C5EF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70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D33A55" w:rsidRPr="007A34E9" w:rsidRDefault="00D33A55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4933" w:type="dxa"/>
            <w:shd w:val="clear" w:color="auto" w:fill="FFFFFF"/>
          </w:tcPr>
          <w:p w:rsidR="00D33A55" w:rsidRPr="007A34E9" w:rsidRDefault="007A34E9" w:rsidP="00331B38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2"/>
                <w:szCs w:val="22"/>
                <w:lang w:eastAsia="pl-PL"/>
              </w:rPr>
              <w:t>Odczynnik do stabilizacji materiału genetycznego po  ekstrakcji z bloczka parafinowego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3A55" w:rsidRPr="007A34E9" w:rsidRDefault="005C2CAB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3A55" w:rsidRPr="007A34E9" w:rsidRDefault="005C2CAB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33A55" w:rsidRPr="007A34E9" w:rsidRDefault="00D33A55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D33A55" w:rsidRPr="007A34E9" w:rsidRDefault="00D33A55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33A55" w:rsidRPr="007A34E9" w:rsidRDefault="00D33A55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FFFFFF"/>
            <w:vAlign w:val="center"/>
          </w:tcPr>
          <w:p w:rsidR="00D33A55" w:rsidRPr="007A34E9" w:rsidRDefault="00D33A55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3A55" w:rsidRPr="007A34E9" w:rsidTr="008C5EF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62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D33A55" w:rsidRPr="007A34E9" w:rsidRDefault="00D33A55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A34E9"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4933" w:type="dxa"/>
            <w:shd w:val="clear" w:color="auto" w:fill="FFFFFF"/>
          </w:tcPr>
          <w:p w:rsidR="00D33A55" w:rsidRPr="007A34E9" w:rsidRDefault="007A34E9" w:rsidP="00331B38">
            <w:p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A34E9">
              <w:rPr>
                <w:rFonts w:ascii="Calibri" w:hAnsi="Calibri" w:cs="Calibri"/>
                <w:color w:val="000000" w:themeColor="text1"/>
                <w:sz w:val="22"/>
                <w:szCs w:val="22"/>
                <w:lang w:eastAsia="pl-PL"/>
              </w:rPr>
              <w:t>Odczynnik do  stymulacji proliferacji komórek w hodowli limfocytów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3A55" w:rsidRPr="007A34E9" w:rsidRDefault="005C2CAB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3A55" w:rsidRPr="007A34E9" w:rsidRDefault="005C2CAB" w:rsidP="00331B38">
            <w:pPr>
              <w:spacing w:after="2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33A55" w:rsidRPr="007A34E9" w:rsidRDefault="00D33A55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D33A55" w:rsidRPr="007A34E9" w:rsidRDefault="00D33A55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D33A55" w:rsidRPr="007A34E9" w:rsidRDefault="00D33A55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48" w:type="dxa"/>
            <w:shd w:val="clear" w:color="auto" w:fill="FFFFFF"/>
            <w:vAlign w:val="center"/>
          </w:tcPr>
          <w:p w:rsidR="00D33A55" w:rsidRPr="007A34E9" w:rsidRDefault="00D33A55" w:rsidP="00331B38">
            <w:pPr>
              <w:snapToGrid w:val="0"/>
              <w:spacing w:after="24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84D31" w:rsidRPr="007A34E9" w:rsidTr="008C5EF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D84D31" w:rsidRPr="007A34E9" w:rsidRDefault="00D84D31" w:rsidP="00331B38">
            <w:pPr>
              <w:snapToGrid w:val="0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7A34E9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D84D31" w:rsidRPr="007A34E9" w:rsidRDefault="00D84D31" w:rsidP="00F414FE">
      <w:pPr>
        <w:tabs>
          <w:tab w:val="left" w:pos="9015"/>
        </w:tabs>
        <w:rPr>
          <w:rFonts w:ascii="Calibri" w:eastAsia="NSimSun" w:hAnsi="Calibri" w:cs="Calibri"/>
          <w:sz w:val="22"/>
          <w:szCs w:val="22"/>
          <w:lang w:eastAsia="zh-CN" w:bidi="hi-IN"/>
        </w:rPr>
      </w:pPr>
    </w:p>
    <w:p w:rsidR="00D84D31" w:rsidRPr="007A34E9" w:rsidRDefault="00D84D31" w:rsidP="00D84D31">
      <w:pPr>
        <w:rPr>
          <w:rFonts w:ascii="Calibri" w:hAnsi="Calibri" w:cs="Calibri"/>
          <w:sz w:val="22"/>
          <w:szCs w:val="22"/>
        </w:rPr>
      </w:pPr>
      <w:r w:rsidRPr="007A34E9">
        <w:rPr>
          <w:rFonts w:ascii="Calibri" w:hAnsi="Calibri" w:cs="Calibri"/>
          <w:sz w:val="22"/>
          <w:szCs w:val="22"/>
        </w:rPr>
        <w:t>*wypełnia Wykonawca</w:t>
      </w:r>
    </w:p>
    <w:p w:rsidR="00D84D31" w:rsidRPr="007A34E9" w:rsidRDefault="00D84D31" w:rsidP="00D84D31">
      <w:pPr>
        <w:rPr>
          <w:rFonts w:ascii="Calibri" w:hAnsi="Calibri" w:cs="Calibri"/>
          <w:sz w:val="22"/>
          <w:szCs w:val="22"/>
        </w:rPr>
      </w:pPr>
    </w:p>
    <w:p w:rsidR="00D84D31" w:rsidRPr="007A34E9" w:rsidRDefault="00D84D31" w:rsidP="00D84D31">
      <w:pPr>
        <w:suppressAutoHyphens w:val="0"/>
        <w:spacing w:line="360" w:lineRule="auto"/>
        <w:jc w:val="both"/>
        <w:rPr>
          <w:rFonts w:ascii="Calibri" w:hAnsi="Calibri" w:cs="Calibri"/>
          <w:bCs/>
          <w:color w:val="auto"/>
          <w:kern w:val="0"/>
          <w:sz w:val="22"/>
          <w:szCs w:val="22"/>
          <w:lang w:eastAsia="pl-PL"/>
        </w:rPr>
      </w:pPr>
      <w:r w:rsidRPr="007A34E9">
        <w:rPr>
          <w:rFonts w:ascii="Calibri" w:eastAsia="NSimSun" w:hAnsi="Calibri" w:cs="Calibri"/>
          <w:b/>
          <w:bCs/>
          <w:iCs/>
          <w:color w:val="auto"/>
          <w:kern w:val="3"/>
          <w:sz w:val="22"/>
          <w:szCs w:val="22"/>
          <w:lang w:eastAsia="zh-CN" w:bidi="hi-IN"/>
        </w:rPr>
        <w:t xml:space="preserve">UWAGA (jeżeli dotyczy): </w:t>
      </w:r>
    </w:p>
    <w:p w:rsidR="00D84D31" w:rsidRPr="007A34E9" w:rsidRDefault="00D84D31" w:rsidP="00D84D31">
      <w:pPr>
        <w:autoSpaceDN w:val="0"/>
        <w:jc w:val="both"/>
        <w:rPr>
          <w:rFonts w:ascii="Calibri" w:eastAsia="NSimSun" w:hAnsi="Calibri" w:cs="Calibri"/>
          <w:bCs/>
          <w:color w:val="auto"/>
          <w:kern w:val="3"/>
          <w:sz w:val="22"/>
          <w:szCs w:val="22"/>
          <w:lang w:eastAsia="zh-CN" w:bidi="hi-IN"/>
        </w:rPr>
      </w:pPr>
      <w:r w:rsidRPr="007A34E9">
        <w:rPr>
          <w:rFonts w:ascii="Calibri" w:eastAsia="NSimSun" w:hAnsi="Calibri" w:cs="Calibri"/>
          <w:bCs/>
          <w:iCs/>
          <w:color w:val="auto"/>
          <w:kern w:val="3"/>
          <w:sz w:val="22"/>
          <w:szCs w:val="22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D84D31" w:rsidRPr="007A34E9" w:rsidRDefault="00D84D31" w:rsidP="00D84D31">
      <w:pPr>
        <w:autoSpaceDN w:val="0"/>
        <w:jc w:val="both"/>
        <w:rPr>
          <w:rFonts w:ascii="Calibri" w:eastAsia="NSimSun" w:hAnsi="Calibri" w:cs="Calibri"/>
          <w:bCs/>
          <w:iCs/>
          <w:color w:val="auto"/>
          <w:kern w:val="3"/>
          <w:sz w:val="22"/>
          <w:szCs w:val="22"/>
          <w:lang w:eastAsia="zh-CN" w:bidi="hi-IN"/>
        </w:rPr>
      </w:pPr>
    </w:p>
    <w:p w:rsidR="00D84D31" w:rsidRPr="007A34E9" w:rsidRDefault="00D84D31" w:rsidP="00D84D31">
      <w:pPr>
        <w:autoSpaceDN w:val="0"/>
        <w:jc w:val="both"/>
        <w:rPr>
          <w:rFonts w:ascii="Calibri" w:eastAsia="NSimSun" w:hAnsi="Calibri" w:cs="Calibri"/>
          <w:bCs/>
          <w:iCs/>
          <w:color w:val="auto"/>
          <w:kern w:val="3"/>
          <w:sz w:val="22"/>
          <w:szCs w:val="22"/>
          <w:lang w:eastAsia="zh-CN" w:bidi="hi-IN"/>
        </w:rPr>
      </w:pPr>
      <w:r w:rsidRPr="007A34E9">
        <w:rPr>
          <w:rFonts w:ascii="Calibri" w:eastAsia="NSimSun" w:hAnsi="Calibri" w:cs="Calibri"/>
          <w:bCs/>
          <w:iCs/>
          <w:color w:val="auto"/>
          <w:kern w:val="3"/>
          <w:sz w:val="22"/>
          <w:szCs w:val="22"/>
          <w:lang w:eastAsia="zh-CN" w:bidi="hi-IN"/>
        </w:rPr>
        <w:t xml:space="preserve">-Wykonawca jest zobowiązany dostarczyć </w:t>
      </w:r>
      <w:r w:rsidRPr="007A34E9">
        <w:rPr>
          <w:rFonts w:ascii="Calibri" w:eastAsia="NSimSun" w:hAnsi="Calibri" w:cs="Calibri"/>
          <w:b/>
          <w:bCs/>
          <w:iCs/>
          <w:color w:val="auto"/>
          <w:kern w:val="3"/>
          <w:sz w:val="22"/>
          <w:szCs w:val="22"/>
          <w:lang w:eastAsia="zh-CN" w:bidi="hi-IN"/>
        </w:rPr>
        <w:t>świadectwo jakości</w:t>
      </w:r>
      <w:r w:rsidRPr="007A34E9">
        <w:rPr>
          <w:rFonts w:ascii="Calibri" w:eastAsia="NSimSun" w:hAnsi="Calibri" w:cs="Calibri"/>
          <w:bCs/>
          <w:iCs/>
          <w:color w:val="auto"/>
          <w:kern w:val="3"/>
          <w:sz w:val="22"/>
          <w:szCs w:val="22"/>
          <w:lang w:eastAsia="zh-CN" w:bidi="hi-IN"/>
        </w:rPr>
        <w:t xml:space="preserve"> dla danej partii odczynników przy każdorazowej dostawie wyżej wymienionego asortymentu.</w:t>
      </w:r>
    </w:p>
    <w:p w:rsidR="00D84D31" w:rsidRPr="007A34E9" w:rsidRDefault="00D84D31" w:rsidP="00D84D31">
      <w:pPr>
        <w:autoSpaceDN w:val="0"/>
        <w:jc w:val="both"/>
        <w:rPr>
          <w:rFonts w:ascii="Calibri" w:eastAsia="NSimSun" w:hAnsi="Calibri" w:cs="Calibri"/>
          <w:bCs/>
          <w:iCs/>
          <w:color w:val="auto"/>
          <w:kern w:val="3"/>
          <w:sz w:val="22"/>
          <w:szCs w:val="22"/>
          <w:lang w:eastAsia="zh-CN" w:bidi="hi-IN"/>
        </w:rPr>
      </w:pPr>
      <w:r w:rsidRPr="007A34E9">
        <w:rPr>
          <w:rFonts w:ascii="Calibri" w:eastAsia="NSimSun" w:hAnsi="Calibri" w:cs="Calibri"/>
          <w:bCs/>
          <w:iCs/>
          <w:color w:val="auto"/>
          <w:kern w:val="3"/>
          <w:sz w:val="22"/>
          <w:szCs w:val="22"/>
          <w:lang w:eastAsia="zh-CN" w:bidi="hi-IN"/>
        </w:rPr>
        <w:t xml:space="preserve">-Wykonawca jest zobowiązany dostarczyć </w:t>
      </w:r>
      <w:r w:rsidRPr="007A34E9">
        <w:rPr>
          <w:rFonts w:ascii="Calibri" w:eastAsia="NSimSun" w:hAnsi="Calibri" w:cs="Calibri"/>
          <w:b/>
          <w:bCs/>
          <w:iCs/>
          <w:color w:val="auto"/>
          <w:kern w:val="3"/>
          <w:sz w:val="22"/>
          <w:szCs w:val="22"/>
          <w:lang w:eastAsia="zh-CN" w:bidi="hi-IN"/>
        </w:rPr>
        <w:t>kartę charakterystyki</w:t>
      </w:r>
      <w:r w:rsidRPr="007A34E9">
        <w:rPr>
          <w:rFonts w:ascii="Calibri" w:eastAsia="NSimSun" w:hAnsi="Calibri" w:cs="Calibri"/>
          <w:bCs/>
          <w:iCs/>
          <w:color w:val="auto"/>
          <w:kern w:val="3"/>
          <w:sz w:val="22"/>
          <w:szCs w:val="22"/>
          <w:lang w:eastAsia="zh-CN" w:bidi="hi-IN"/>
        </w:rPr>
        <w:t xml:space="preserve"> do każdego z wyżej wymienionych odczynników wraz z pierwszą dostawą.</w:t>
      </w:r>
    </w:p>
    <w:p w:rsidR="00D84D31" w:rsidRPr="007A34E9" w:rsidRDefault="00D84D31" w:rsidP="00D84D31">
      <w:pPr>
        <w:rPr>
          <w:rFonts w:ascii="Calibri" w:hAnsi="Calibri" w:cs="Calibri"/>
          <w:b/>
          <w:color w:val="auto"/>
          <w:sz w:val="22"/>
          <w:szCs w:val="22"/>
        </w:rPr>
      </w:pPr>
    </w:p>
    <w:p w:rsidR="00D84D31" w:rsidRPr="007A34E9" w:rsidRDefault="00D84D31" w:rsidP="00D84D31">
      <w:pPr>
        <w:rPr>
          <w:rFonts w:ascii="Calibri" w:hAnsi="Calibri" w:cs="Calibri"/>
          <w:b/>
          <w:color w:val="auto"/>
          <w:sz w:val="22"/>
          <w:szCs w:val="22"/>
        </w:rPr>
      </w:pPr>
    </w:p>
    <w:p w:rsidR="00D84D31" w:rsidRPr="007A34E9" w:rsidRDefault="00D84D31" w:rsidP="00D84D31">
      <w:pPr>
        <w:rPr>
          <w:rFonts w:ascii="Calibri" w:hAnsi="Calibri" w:cs="Calibri"/>
          <w:b/>
          <w:color w:val="auto"/>
          <w:sz w:val="22"/>
          <w:szCs w:val="22"/>
        </w:rPr>
      </w:pPr>
    </w:p>
    <w:p w:rsidR="00D84D31" w:rsidRPr="007A34E9" w:rsidRDefault="00D84D31" w:rsidP="00D84D31">
      <w:pPr>
        <w:rPr>
          <w:rFonts w:ascii="Calibri" w:hAnsi="Calibri" w:cs="Calibri"/>
          <w:b/>
          <w:color w:val="auto"/>
          <w:sz w:val="22"/>
          <w:szCs w:val="22"/>
        </w:rPr>
      </w:pP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</w:p>
    <w:p w:rsidR="00D84D31" w:rsidRPr="007A34E9" w:rsidRDefault="00D84D31" w:rsidP="00D84D31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</w:p>
    <w:p w:rsidR="00D84D31" w:rsidRPr="007A34E9" w:rsidRDefault="00D84D31" w:rsidP="00D84D31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</w:p>
    <w:p w:rsidR="00D84D31" w:rsidRPr="007A34E9" w:rsidRDefault="00D84D31" w:rsidP="00D84D31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</w:p>
    <w:p w:rsidR="00D84D31" w:rsidRPr="007A34E9" w:rsidRDefault="00D84D31" w:rsidP="00D84D31">
      <w:pPr>
        <w:jc w:val="right"/>
        <w:rPr>
          <w:rFonts w:ascii="Calibri" w:hAnsi="Calibri" w:cs="Calibri"/>
          <w:color w:val="auto"/>
          <w:sz w:val="22"/>
          <w:szCs w:val="22"/>
        </w:rPr>
      </w:pP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b/>
          <w:color w:val="auto"/>
          <w:sz w:val="22"/>
          <w:szCs w:val="22"/>
        </w:rPr>
        <w:tab/>
      </w:r>
      <w:r w:rsidRPr="007A34E9">
        <w:rPr>
          <w:rFonts w:ascii="Calibri" w:hAnsi="Calibri" w:cs="Calibri"/>
          <w:color w:val="auto"/>
          <w:sz w:val="22"/>
          <w:szCs w:val="22"/>
        </w:rPr>
        <w:t>…………………………………………………….</w:t>
      </w:r>
    </w:p>
    <w:p w:rsidR="00D84D31" w:rsidRPr="007A34E9" w:rsidRDefault="00D84D31" w:rsidP="00D84D31">
      <w:pPr>
        <w:jc w:val="right"/>
        <w:rPr>
          <w:rFonts w:ascii="Calibri" w:hAnsi="Calibri" w:cs="Calibri"/>
          <w:b/>
          <w:color w:val="auto"/>
          <w:sz w:val="22"/>
          <w:szCs w:val="22"/>
        </w:rPr>
      </w:pPr>
      <w:r w:rsidRPr="007A34E9">
        <w:rPr>
          <w:rFonts w:ascii="Calibri" w:hAnsi="Calibri" w:cs="Calibri"/>
          <w:color w:val="auto"/>
          <w:sz w:val="22"/>
          <w:szCs w:val="22"/>
        </w:rPr>
        <w:t>podpis osoby upoważnionej do reprezentacji Wykonawcy</w:t>
      </w:r>
    </w:p>
    <w:p w:rsidR="00D84D31" w:rsidRPr="007A34E9" w:rsidRDefault="00D84D31" w:rsidP="00D84D31">
      <w:pPr>
        <w:rPr>
          <w:rFonts w:ascii="Calibri" w:eastAsia="NSimSun" w:hAnsi="Calibri" w:cs="Calibri"/>
          <w:b/>
          <w:color w:val="auto"/>
          <w:kern w:val="3"/>
          <w:sz w:val="22"/>
          <w:szCs w:val="22"/>
          <w:lang w:eastAsia="zh-CN" w:bidi="hi-IN"/>
        </w:rPr>
      </w:pPr>
    </w:p>
    <w:p w:rsidR="00D84D31" w:rsidRPr="007A34E9" w:rsidRDefault="00D84D31" w:rsidP="00D84D31">
      <w:pPr>
        <w:tabs>
          <w:tab w:val="left" w:pos="9015"/>
        </w:tabs>
        <w:jc w:val="right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:rsidR="00D84D31" w:rsidRPr="007A34E9" w:rsidRDefault="00D84D31" w:rsidP="00D84D31">
      <w:pPr>
        <w:tabs>
          <w:tab w:val="left" w:pos="9015"/>
        </w:tabs>
        <w:jc w:val="right"/>
        <w:rPr>
          <w:rFonts w:ascii="Calibri" w:eastAsia="NSimSun" w:hAnsi="Calibri" w:cs="Calibri"/>
          <w:sz w:val="22"/>
          <w:szCs w:val="22"/>
          <w:lang w:eastAsia="zh-CN" w:bidi="hi-IN"/>
        </w:rPr>
      </w:pPr>
    </w:p>
    <w:p w:rsidR="00D84D31" w:rsidRPr="007A34E9" w:rsidRDefault="00D84D31" w:rsidP="00D84D31">
      <w:pPr>
        <w:tabs>
          <w:tab w:val="left" w:pos="9015"/>
        </w:tabs>
        <w:rPr>
          <w:rFonts w:ascii="Calibri" w:eastAsia="NSimSun" w:hAnsi="Calibri" w:cs="Calibri"/>
          <w:sz w:val="22"/>
          <w:szCs w:val="22"/>
          <w:lang w:eastAsia="zh-CN" w:bidi="hi-IN"/>
        </w:rPr>
      </w:pPr>
    </w:p>
    <w:p w:rsidR="00D84D31" w:rsidRPr="007A34E9" w:rsidRDefault="00D84D31" w:rsidP="00F414FE">
      <w:pPr>
        <w:tabs>
          <w:tab w:val="left" w:pos="9015"/>
        </w:tabs>
        <w:rPr>
          <w:rFonts w:ascii="Calibri" w:eastAsia="NSimSun" w:hAnsi="Calibri" w:cs="Calibri"/>
          <w:sz w:val="22"/>
          <w:szCs w:val="22"/>
          <w:lang w:eastAsia="zh-CN" w:bidi="hi-IN"/>
        </w:rPr>
      </w:pPr>
    </w:p>
    <w:sectPr w:rsidR="00D84D31" w:rsidRPr="007A34E9" w:rsidSect="00B827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212" w:rsidRDefault="003B4212" w:rsidP="00444299">
      <w:r>
        <w:separator/>
      </w:r>
    </w:p>
  </w:endnote>
  <w:endnote w:type="continuationSeparator" w:id="0">
    <w:p w:rsidR="003B4212" w:rsidRDefault="003B4212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212" w:rsidRDefault="003B4212" w:rsidP="00444299">
      <w:r>
        <w:separator/>
      </w:r>
    </w:p>
  </w:footnote>
  <w:footnote w:type="continuationSeparator" w:id="0">
    <w:p w:rsidR="003B4212" w:rsidRDefault="003B4212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42E44"/>
    <w:rsid w:val="000615C2"/>
    <w:rsid w:val="000706A5"/>
    <w:rsid w:val="00072A01"/>
    <w:rsid w:val="000763B9"/>
    <w:rsid w:val="00076677"/>
    <w:rsid w:val="000843BE"/>
    <w:rsid w:val="0009664B"/>
    <w:rsid w:val="000A72E2"/>
    <w:rsid w:val="000B4E92"/>
    <w:rsid w:val="000F06D4"/>
    <w:rsid w:val="00140C81"/>
    <w:rsid w:val="001514AC"/>
    <w:rsid w:val="00161662"/>
    <w:rsid w:val="00193762"/>
    <w:rsid w:val="001A03D8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2F56C1"/>
    <w:rsid w:val="00336E45"/>
    <w:rsid w:val="0034494D"/>
    <w:rsid w:val="003470C0"/>
    <w:rsid w:val="00372308"/>
    <w:rsid w:val="003B11EC"/>
    <w:rsid w:val="003B4212"/>
    <w:rsid w:val="003B6D8C"/>
    <w:rsid w:val="003D0EC0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3A6B"/>
    <w:rsid w:val="004A37C6"/>
    <w:rsid w:val="004B6CB9"/>
    <w:rsid w:val="004C0632"/>
    <w:rsid w:val="004D2F96"/>
    <w:rsid w:val="004E7359"/>
    <w:rsid w:val="00507462"/>
    <w:rsid w:val="0051123C"/>
    <w:rsid w:val="00527361"/>
    <w:rsid w:val="00544ECD"/>
    <w:rsid w:val="00571BFE"/>
    <w:rsid w:val="005923EA"/>
    <w:rsid w:val="005A79B3"/>
    <w:rsid w:val="005B0AEE"/>
    <w:rsid w:val="005C2CAB"/>
    <w:rsid w:val="005D0A04"/>
    <w:rsid w:val="005E0D26"/>
    <w:rsid w:val="005F76F1"/>
    <w:rsid w:val="0060001E"/>
    <w:rsid w:val="00614089"/>
    <w:rsid w:val="006147AA"/>
    <w:rsid w:val="00630808"/>
    <w:rsid w:val="00632A00"/>
    <w:rsid w:val="00636972"/>
    <w:rsid w:val="006463E6"/>
    <w:rsid w:val="00647A18"/>
    <w:rsid w:val="006571D8"/>
    <w:rsid w:val="00670702"/>
    <w:rsid w:val="00683EF5"/>
    <w:rsid w:val="00691FE3"/>
    <w:rsid w:val="00693D52"/>
    <w:rsid w:val="006969B7"/>
    <w:rsid w:val="006A644B"/>
    <w:rsid w:val="006B1481"/>
    <w:rsid w:val="006D08D3"/>
    <w:rsid w:val="00700B45"/>
    <w:rsid w:val="007113E6"/>
    <w:rsid w:val="0071276F"/>
    <w:rsid w:val="007225E5"/>
    <w:rsid w:val="00747D9F"/>
    <w:rsid w:val="00752BA3"/>
    <w:rsid w:val="00766B69"/>
    <w:rsid w:val="007751FD"/>
    <w:rsid w:val="00777BB7"/>
    <w:rsid w:val="00785B8E"/>
    <w:rsid w:val="007A090A"/>
    <w:rsid w:val="007A34E9"/>
    <w:rsid w:val="007C0114"/>
    <w:rsid w:val="007C68E6"/>
    <w:rsid w:val="007E5BF1"/>
    <w:rsid w:val="007F3227"/>
    <w:rsid w:val="00800E53"/>
    <w:rsid w:val="0081458A"/>
    <w:rsid w:val="00816291"/>
    <w:rsid w:val="0082598E"/>
    <w:rsid w:val="00827DF6"/>
    <w:rsid w:val="00837BD4"/>
    <w:rsid w:val="00861DF5"/>
    <w:rsid w:val="008811D3"/>
    <w:rsid w:val="008B21C4"/>
    <w:rsid w:val="008C5EFE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7477A"/>
    <w:rsid w:val="00991BD2"/>
    <w:rsid w:val="009A7B02"/>
    <w:rsid w:val="009B0E06"/>
    <w:rsid w:val="009B1292"/>
    <w:rsid w:val="009E2C13"/>
    <w:rsid w:val="009E49E7"/>
    <w:rsid w:val="009F2D1E"/>
    <w:rsid w:val="009F3E28"/>
    <w:rsid w:val="009F6D68"/>
    <w:rsid w:val="00A027A4"/>
    <w:rsid w:val="00A50B90"/>
    <w:rsid w:val="00A53BF1"/>
    <w:rsid w:val="00A53EE4"/>
    <w:rsid w:val="00A617AD"/>
    <w:rsid w:val="00A62F5A"/>
    <w:rsid w:val="00A6539D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71248"/>
    <w:rsid w:val="00B827A7"/>
    <w:rsid w:val="00B85FA2"/>
    <w:rsid w:val="00B9067E"/>
    <w:rsid w:val="00BA0BD7"/>
    <w:rsid w:val="00BA5E6F"/>
    <w:rsid w:val="00BA7591"/>
    <w:rsid w:val="00BD1EED"/>
    <w:rsid w:val="00BD3C9F"/>
    <w:rsid w:val="00BD7E98"/>
    <w:rsid w:val="00BF291D"/>
    <w:rsid w:val="00C10B60"/>
    <w:rsid w:val="00C14BEC"/>
    <w:rsid w:val="00C27689"/>
    <w:rsid w:val="00C278B4"/>
    <w:rsid w:val="00C628D3"/>
    <w:rsid w:val="00C73543"/>
    <w:rsid w:val="00C77B60"/>
    <w:rsid w:val="00CA08FF"/>
    <w:rsid w:val="00CB2BE1"/>
    <w:rsid w:val="00CB573D"/>
    <w:rsid w:val="00CE7271"/>
    <w:rsid w:val="00D13445"/>
    <w:rsid w:val="00D33A55"/>
    <w:rsid w:val="00D4157D"/>
    <w:rsid w:val="00D436AD"/>
    <w:rsid w:val="00D620C9"/>
    <w:rsid w:val="00D84D31"/>
    <w:rsid w:val="00D85683"/>
    <w:rsid w:val="00DC63AF"/>
    <w:rsid w:val="00DF3677"/>
    <w:rsid w:val="00E03AE4"/>
    <w:rsid w:val="00E1237B"/>
    <w:rsid w:val="00E20556"/>
    <w:rsid w:val="00E23ECA"/>
    <w:rsid w:val="00E24AC5"/>
    <w:rsid w:val="00E26F3B"/>
    <w:rsid w:val="00E3132A"/>
    <w:rsid w:val="00E45595"/>
    <w:rsid w:val="00E5401F"/>
    <w:rsid w:val="00E55A6F"/>
    <w:rsid w:val="00E7412F"/>
    <w:rsid w:val="00E93132"/>
    <w:rsid w:val="00E976A6"/>
    <w:rsid w:val="00EA0BA0"/>
    <w:rsid w:val="00EE15E0"/>
    <w:rsid w:val="00F03576"/>
    <w:rsid w:val="00F10487"/>
    <w:rsid w:val="00F26C1C"/>
    <w:rsid w:val="00F31D42"/>
    <w:rsid w:val="00F33028"/>
    <w:rsid w:val="00F35ADF"/>
    <w:rsid w:val="00F414FE"/>
    <w:rsid w:val="00F419A9"/>
    <w:rsid w:val="00F73E22"/>
    <w:rsid w:val="00F762C8"/>
    <w:rsid w:val="00F8165F"/>
    <w:rsid w:val="00F87693"/>
    <w:rsid w:val="00F9009C"/>
    <w:rsid w:val="00FA23D9"/>
    <w:rsid w:val="00FA3B8C"/>
    <w:rsid w:val="00FA6FC3"/>
    <w:rsid w:val="00FD51E3"/>
    <w:rsid w:val="00FE603B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D31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E74F5-99B9-4543-AEB3-80226B34A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1</Pages>
  <Words>1436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Agnieszka Wąsiewicz</cp:lastModifiedBy>
  <cp:revision>97</cp:revision>
  <cp:lastPrinted>2024-08-26T11:21:00Z</cp:lastPrinted>
  <dcterms:created xsi:type="dcterms:W3CDTF">2022-04-20T07:17:00Z</dcterms:created>
  <dcterms:modified xsi:type="dcterms:W3CDTF">2024-08-26T11:21:00Z</dcterms:modified>
</cp:coreProperties>
</file>