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8F6" w14:textId="32DC604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UMOWA </w:t>
      </w:r>
      <w:r w:rsidR="009A3F24">
        <w:rPr>
          <w:b/>
          <w:i w:val="0"/>
          <w:iCs w:val="0"/>
        </w:rPr>
        <w:t xml:space="preserve">O ROBOTY BUDOWLANE </w:t>
      </w:r>
      <w:r w:rsidRPr="002365F6">
        <w:rPr>
          <w:b/>
          <w:i w:val="0"/>
          <w:iCs w:val="0"/>
        </w:rPr>
        <w:t>NR  ................  (</w:t>
      </w:r>
      <w:r w:rsidR="00AE6245">
        <w:rPr>
          <w:b/>
          <w:i w:val="0"/>
          <w:iCs w:val="0"/>
        </w:rPr>
        <w:t>projekt</w:t>
      </w:r>
      <w:r w:rsidRPr="002365F6">
        <w:rPr>
          <w:b/>
          <w:i w:val="0"/>
          <w:iCs w:val="0"/>
        </w:rPr>
        <w:t xml:space="preserve"> umowy)</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38EED948"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w:t>
      </w:r>
      <w:r w:rsidR="00CB1463">
        <w:rPr>
          <w:sz w:val="22"/>
          <w:lang w:eastAsia="pl-PL"/>
        </w:rPr>
        <w:t>1</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F462D10" w:rsidR="002050CA" w:rsidRPr="00380E97"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462C4080" w14:textId="77777777" w:rsidR="0044042F" w:rsidRPr="002365F6" w:rsidRDefault="0044042F" w:rsidP="002C711F">
      <w:pPr>
        <w:spacing w:line="360" w:lineRule="auto"/>
        <w:rPr>
          <w:rFonts w:eastAsia="Arial"/>
          <w:sz w:val="22"/>
        </w:rPr>
      </w:pPr>
      <w:r w:rsidRPr="002365F6">
        <w:rPr>
          <w:rFonts w:eastAsia="Arial"/>
          <w:b/>
          <w:sz w:val="22"/>
        </w:rPr>
        <w:t>……………………………………………………………………</w:t>
      </w:r>
    </w:p>
    <w:p w14:paraId="2AB33B61" w14:textId="77777777" w:rsidR="0044042F" w:rsidRPr="002365F6" w:rsidRDefault="0044042F" w:rsidP="002C711F">
      <w:pPr>
        <w:spacing w:line="360" w:lineRule="auto"/>
        <w:rPr>
          <w:sz w:val="22"/>
        </w:rPr>
      </w:pPr>
      <w:r w:rsidRPr="002365F6">
        <w:rPr>
          <w:rFonts w:eastAsia="Arial"/>
          <w:sz w:val="22"/>
        </w:rPr>
        <w:t>NIP/PESEL/KRS ……………………………. REGON</w:t>
      </w:r>
    </w:p>
    <w:p w14:paraId="5AEFE7C8" w14:textId="77777777" w:rsidR="002050CA" w:rsidRDefault="002050CA" w:rsidP="002C711F">
      <w:pPr>
        <w:tabs>
          <w:tab w:val="left" w:pos="360"/>
          <w:tab w:val="left" w:pos="420"/>
        </w:tabs>
        <w:spacing w:line="360" w:lineRule="auto"/>
        <w:ind w:left="360" w:hanging="360"/>
        <w:rPr>
          <w:sz w:val="22"/>
        </w:rPr>
      </w:pP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proofErr w:type="spellStart"/>
      <w:r w:rsidR="0044042F" w:rsidRPr="002365F6">
        <w:rPr>
          <w:sz w:val="22"/>
        </w:rPr>
        <w:t>ym</w:t>
      </w:r>
      <w:proofErr w:type="spellEnd"/>
      <w:r w:rsidR="0044042F" w:rsidRPr="002365F6">
        <w:rPr>
          <w:sz w:val="22"/>
        </w:rPr>
        <w:t xml:space="preserve">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3DD506C0"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004B34D7" w:rsidRPr="004B34D7">
        <w:rPr>
          <w:b/>
          <w:bCs/>
          <w:sz w:val="22"/>
          <w:lang w:val="x-none"/>
        </w:rPr>
        <w:t xml:space="preserve">Przebudowa drogi gminnej - ul. Mickiewicza </w:t>
      </w:r>
      <w:r w:rsidR="00FC2D8E">
        <w:rPr>
          <w:b/>
          <w:bCs/>
          <w:sz w:val="22"/>
          <w:lang w:val="x-none"/>
        </w:rPr>
        <w:br/>
      </w:r>
      <w:r w:rsidR="004B34D7" w:rsidRPr="004B34D7">
        <w:rPr>
          <w:b/>
          <w:bCs/>
          <w:sz w:val="22"/>
          <w:lang w:val="x-none"/>
        </w:rPr>
        <w:t xml:space="preserve">w </w:t>
      </w:r>
      <w:proofErr w:type="spellStart"/>
      <w:r w:rsidR="004B34D7" w:rsidRPr="004B34D7">
        <w:rPr>
          <w:b/>
          <w:bCs/>
          <w:sz w:val="22"/>
          <w:lang w:val="x-none"/>
        </w:rPr>
        <w:t>Trzcińsku-Zdroju</w:t>
      </w:r>
      <w:proofErr w:type="spellEnd"/>
      <w:r w:rsidR="004B34D7" w:rsidRPr="004B34D7">
        <w:rPr>
          <w:b/>
          <w:bCs/>
          <w:sz w:val="22"/>
          <w:lang w:val="x-none"/>
        </w:rPr>
        <w:t>”.</w:t>
      </w:r>
      <w:r w:rsidRPr="009A3F24">
        <w:rPr>
          <w:sz w:val="22"/>
          <w:lang w:val="x-none"/>
        </w:rPr>
        <w:t>” na podstawie ustawy z dnia 11 września 2019 r. Prawo zamówień publicznych (</w:t>
      </w:r>
      <w:proofErr w:type="spellStart"/>
      <w:r w:rsidRPr="009A3F24">
        <w:rPr>
          <w:sz w:val="22"/>
          <w:lang w:val="x-none"/>
        </w:rPr>
        <w:t>t.j</w:t>
      </w:r>
      <w:proofErr w:type="spellEnd"/>
      <w:r w:rsidRPr="009A3F24">
        <w:rPr>
          <w:sz w:val="22"/>
          <w:lang w:val="x-none"/>
        </w:rPr>
        <w:t>. Dz. U. z 2021 r. poz. 1129 z</w:t>
      </w:r>
      <w:r w:rsidR="00AE6245">
        <w:rPr>
          <w:sz w:val="22"/>
        </w:rPr>
        <w:t>e</w:t>
      </w:r>
      <w:r w:rsidRPr="009A3F24">
        <w:rPr>
          <w:sz w:val="22"/>
          <w:lang w:val="x-none"/>
        </w:rPr>
        <w:t xml:space="preserve"> zm.), zw. dalej „ustawą </w:t>
      </w:r>
      <w:proofErr w:type="spellStart"/>
      <w:r w:rsidRPr="009A3F24">
        <w:rPr>
          <w:sz w:val="22"/>
          <w:lang w:val="x-none"/>
        </w:rPr>
        <w:t>pzp</w:t>
      </w:r>
      <w:proofErr w:type="spellEnd"/>
      <w:r w:rsidRPr="009A3F24">
        <w:rPr>
          <w:sz w:val="22"/>
          <w:lang w:val="x-none"/>
        </w:rPr>
        <w:t>”.</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2D2AFDD8"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4B34D7">
        <w:rPr>
          <w:rFonts w:ascii="Times New Roman" w:hAnsi="Times New Roman" w:cs="Times New Roman"/>
          <w:b/>
          <w:sz w:val="22"/>
        </w:rPr>
        <w:t>„</w:t>
      </w:r>
      <w:r w:rsidR="004B34D7" w:rsidRPr="004B34D7">
        <w:rPr>
          <w:rFonts w:ascii="Times New Roman" w:hAnsi="Times New Roman" w:cs="Times New Roman"/>
          <w:b/>
          <w:color w:val="000000"/>
          <w:sz w:val="22"/>
          <w:lang w:eastAsia="ar-SA"/>
        </w:rPr>
        <w:t xml:space="preserve">Przebudowa drogi gminnej - ul. Mickiewicza w </w:t>
      </w:r>
      <w:proofErr w:type="spellStart"/>
      <w:r w:rsidR="004B34D7" w:rsidRPr="004B34D7">
        <w:rPr>
          <w:rFonts w:ascii="Times New Roman" w:hAnsi="Times New Roman" w:cs="Times New Roman"/>
          <w:b/>
          <w:color w:val="000000"/>
          <w:sz w:val="22"/>
          <w:lang w:eastAsia="ar-SA"/>
        </w:rPr>
        <w:t>Trzcińsku-Zdroju</w:t>
      </w:r>
      <w:proofErr w:type="spellEnd"/>
      <w:r w:rsidR="004B34D7" w:rsidRPr="004B34D7">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istotnych warunków zamówienia</w:t>
      </w:r>
      <w:r w:rsidR="00B333AB" w:rsidRPr="00782747">
        <w:rPr>
          <w:rFonts w:ascii="Times New Roman" w:hAnsi="Times New Roman" w:cs="Times New Roman"/>
          <w:sz w:val="22"/>
        </w:rPr>
        <w:t xml:space="preserve"> </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t>Szczegółowy zakres Przedmiotu Umowy przedstawiają następujące dokumenty, które będą uważane oraz odczytywane i interpretowane w następującej kolejności:</w:t>
      </w:r>
    </w:p>
    <w:p w14:paraId="3C7C6236" w14:textId="03E3E3E9" w:rsidR="00DA1135" w:rsidRPr="002365F6" w:rsidRDefault="002050CA" w:rsidP="002C711F">
      <w:pPr>
        <w:pStyle w:val="Nagwek3"/>
        <w:numPr>
          <w:ilvl w:val="0"/>
          <w:numId w:val="6"/>
        </w:numPr>
        <w:spacing w:line="360" w:lineRule="auto"/>
        <w:ind w:left="709"/>
        <w:rPr>
          <w:rFonts w:cs="Times New Roman"/>
        </w:rPr>
      </w:pPr>
      <w:r>
        <w:rPr>
          <w:rFonts w:cs="Times New Roman"/>
        </w:rPr>
        <w:lastRenderedPageBreak/>
        <w:t>niniejsza u</w:t>
      </w:r>
      <w:r w:rsidR="00DA1135" w:rsidRPr="002365F6">
        <w:rPr>
          <w:rFonts w:cs="Times New Roman"/>
        </w:rPr>
        <w:t>mowa</w:t>
      </w:r>
      <w:r>
        <w:rPr>
          <w:rFonts w:cs="Times New Roman"/>
        </w:rPr>
        <w:t>, zwana dalej Umową</w:t>
      </w:r>
      <w:r w:rsidR="00DA1135" w:rsidRPr="002365F6">
        <w:rPr>
          <w:rFonts w:cs="Times New Roman"/>
        </w:rPr>
        <w:t>,</w:t>
      </w:r>
      <w:r w:rsidR="006F4D1E">
        <w:rPr>
          <w:rFonts w:cs="Times New Roman"/>
        </w:rPr>
        <w:t xml:space="preserve"> </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33BB35F0"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0B2C96">
        <w:rPr>
          <w:rFonts w:cs="Times New Roman"/>
        </w:rPr>
        <w:t xml:space="preserve"> (</w:t>
      </w:r>
      <w:r w:rsidR="000B2C96" w:rsidRPr="000B2C96">
        <w:rPr>
          <w:rFonts w:cs="Times New Roman"/>
        </w:rPr>
        <w:t>Dokumentacja Techniczna – branża drogowa Dokumentacja Techniczna – branża sanitarna, Specyfikacja Techniczna Wykonania i Odbioru Robót (</w:t>
      </w:r>
      <w:proofErr w:type="spellStart"/>
      <w:r w:rsidR="000B2C96" w:rsidRPr="000B2C96">
        <w:rPr>
          <w:rFonts w:cs="Times New Roman"/>
        </w:rPr>
        <w:t>STWiOR</w:t>
      </w:r>
      <w:proofErr w:type="spellEnd"/>
      <w:r w:rsidR="000B2C96" w:rsidRPr="000B2C96">
        <w:rPr>
          <w:rFonts w:cs="Times New Roman"/>
        </w:rPr>
        <w:t>) - branża drogowa, Specyfikacja Techniczna Wykonania i Odbioru Robót (</w:t>
      </w:r>
      <w:proofErr w:type="spellStart"/>
      <w:r w:rsidR="000B2C96" w:rsidRPr="000B2C96">
        <w:rPr>
          <w:rFonts w:cs="Times New Roman"/>
        </w:rPr>
        <w:t>STWiOR</w:t>
      </w:r>
      <w:proofErr w:type="spellEnd"/>
      <w:r w:rsidR="000B2C96" w:rsidRPr="000B2C96">
        <w:rPr>
          <w:rFonts w:cs="Times New Roman"/>
        </w:rPr>
        <w:t xml:space="preserve">) – branża – sanitarna, </w:t>
      </w:r>
      <w:r w:rsidR="006F4D1E" w:rsidRPr="006F4D1E">
        <w:rPr>
          <w:rFonts w:cs="Times New Roman"/>
        </w:rPr>
        <w:t>Przedmiar Robót - branża drogowa, Przedmiar Robót - branża sanitarna</w:t>
      </w:r>
      <w:r w:rsidR="000B2C96">
        <w:rPr>
          <w:rFonts w:cs="Times New Roman"/>
        </w:rPr>
        <w:t>)</w:t>
      </w:r>
      <w:r w:rsidRPr="002365F6">
        <w:rPr>
          <w:rFonts w:cs="Times New Roman"/>
        </w:rPr>
        <w:t>, o której mowa w ust. 1 niniejszej umowy,</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0"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0"/>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040B8DA8"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niezbędne do realizacji przedmiotu Umowy.</w:t>
      </w:r>
    </w:p>
    <w:p w14:paraId="1D88BEDC" w14:textId="77777777" w:rsidR="00335E9A" w:rsidRDefault="00335E9A" w:rsidP="002C711F">
      <w:pPr>
        <w:pStyle w:val="Nagwek3"/>
        <w:spacing w:line="360" w:lineRule="auto"/>
        <w:ind w:left="709" w:hanging="851"/>
        <w:jc w:val="center"/>
        <w:rPr>
          <w:rFonts w:cs="Times New Roman"/>
          <w:b/>
          <w:bCs/>
        </w:rPr>
      </w:pPr>
    </w:p>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12AF4D18"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zamówienia: </w:t>
      </w:r>
      <w:bookmarkStart w:id="1" w:name="_Hlk82004654"/>
      <w:r w:rsidR="004B34D7" w:rsidRPr="00E5223F">
        <w:rPr>
          <w:rFonts w:eastAsia="Arial Unicode MS"/>
          <w:bCs/>
        </w:rPr>
        <w:t>od dnia podpisania Umowy</w:t>
      </w:r>
      <w:r w:rsidR="00E5223F">
        <w:rPr>
          <w:rFonts w:eastAsia="Arial Unicode MS"/>
          <w:bCs/>
        </w:rPr>
        <w:t xml:space="preserve"> do 15 marca 2022 </w:t>
      </w:r>
      <w:commentRangeStart w:id="2"/>
      <w:r w:rsidR="00E5223F">
        <w:rPr>
          <w:rFonts w:eastAsia="Arial Unicode MS"/>
          <w:bCs/>
        </w:rPr>
        <w:t>r</w:t>
      </w:r>
      <w:commentRangeEnd w:id="2"/>
      <w:r w:rsidR="00C264B7">
        <w:rPr>
          <w:rStyle w:val="Odwoaniedokomentarza"/>
          <w:rFonts w:cs="Times New Roman"/>
        </w:rPr>
        <w:commentReference w:id="2"/>
      </w:r>
      <w:r w:rsidR="00AE5D2B" w:rsidRPr="00943E55">
        <w:rPr>
          <w:rFonts w:eastAsia="Arial Unicode MS"/>
          <w:bCs/>
        </w:rPr>
        <w:t>.</w:t>
      </w:r>
      <w:bookmarkEnd w:id="1"/>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77777777" w:rsidR="002831C5" w:rsidRPr="002365F6" w:rsidRDefault="002831C5" w:rsidP="002C711F">
      <w:pPr>
        <w:pStyle w:val="Nagwek3"/>
        <w:spacing w:line="360" w:lineRule="auto"/>
        <w:ind w:left="709" w:hanging="851"/>
        <w:jc w:val="center"/>
        <w:rPr>
          <w:rFonts w:cs="Times New Roman"/>
          <w:b/>
          <w:bCs/>
        </w:rPr>
      </w:pPr>
    </w:p>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1CB267CC" w14:textId="5224F471" w:rsidR="00995B8C" w:rsidRDefault="00995B8C"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204F67B7" w:rsidR="00995B8C" w:rsidRDefault="00995B8C" w:rsidP="002C711F">
      <w:pPr>
        <w:pStyle w:val="Nagwek3"/>
        <w:spacing w:line="360" w:lineRule="auto"/>
        <w:ind w:left="709" w:hanging="851"/>
        <w:jc w:val="center"/>
        <w:rPr>
          <w:rFonts w:cs="Times New Roman"/>
          <w:b/>
          <w:bCs/>
        </w:rPr>
      </w:pPr>
    </w:p>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lastRenderedPageBreak/>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48C62F5B" w14:textId="45656ECC" w:rsidR="00995B8C" w:rsidRDefault="00995B8C" w:rsidP="002C711F">
      <w:pPr>
        <w:tabs>
          <w:tab w:val="left" w:pos="600"/>
        </w:tabs>
        <w:spacing w:line="360" w:lineRule="auto"/>
        <w:ind w:left="600" w:hanging="600"/>
        <w:jc w:val="center"/>
        <w:rPr>
          <w:b/>
          <w:bCs/>
          <w:sz w:val="22"/>
        </w:rPr>
      </w:pPr>
    </w:p>
    <w:p w14:paraId="5F586492" w14:textId="298FCE6B" w:rsidR="00943E55" w:rsidRDefault="00943E55"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lastRenderedPageBreak/>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4E14E5E4"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w:t>
      </w:r>
      <w:proofErr w:type="spellStart"/>
      <w:r w:rsidR="00D368BB">
        <w:rPr>
          <w:sz w:val="22"/>
        </w:rPr>
        <w:t>t.j</w:t>
      </w:r>
      <w:proofErr w:type="spellEnd"/>
      <w:r w:rsidR="00D368BB">
        <w:rPr>
          <w:sz w:val="22"/>
        </w:rPr>
        <w:t>. Dz. U. z 2020 poz.</w:t>
      </w:r>
      <w:r w:rsidR="00B237AE">
        <w:rPr>
          <w:sz w:val="22"/>
        </w:rPr>
        <w:t xml:space="preserve"> 1333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6F555853" w14:textId="77777777" w:rsidR="00B4255D" w:rsidRPr="002365F6" w:rsidRDefault="00B4255D" w:rsidP="002C711F">
      <w:pPr>
        <w:tabs>
          <w:tab w:val="left" w:pos="426"/>
        </w:tabs>
        <w:spacing w:line="360" w:lineRule="auto"/>
        <w:ind w:left="426" w:hanging="325"/>
        <w:rPr>
          <w:sz w:val="22"/>
        </w:rPr>
      </w:pPr>
      <w:r w:rsidRPr="002365F6">
        <w:rPr>
          <w:sz w:val="22"/>
        </w:rPr>
        <w:lastRenderedPageBreak/>
        <w:t>12.</w:t>
      </w:r>
      <w:r w:rsidRPr="002365F6">
        <w:rPr>
          <w:sz w:val="22"/>
        </w:rPr>
        <w:tab/>
        <w:t>Po dokonaniu końcowego odbioru robót, ewentualne roszczenia Wykonawcy nie będą uwzględniane.</w:t>
      </w:r>
    </w:p>
    <w:p w14:paraId="33FCACA1" w14:textId="0C3A8BBC" w:rsidR="003554BC" w:rsidRDefault="003554BC"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638D77D7"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4728EF55"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Wynagrodzenie uwzględnia wszystkie czynniki cenotwórcze związane z wykonaniem Przedmiotu Umowy, również te, które nie wynikają wprost z Umowy, a są niezbędne do wykonania Przedmiotu Umowy, jak w szczególności podatki, ewentualne cła, koszty prac projektowych</w:t>
      </w:r>
      <w:r w:rsidR="009664D8">
        <w:rPr>
          <w:rFonts w:cs="Times New Roman"/>
          <w:b w:val="0"/>
          <w:bCs w:val="0"/>
        </w:rPr>
        <w:t xml:space="preserve"> </w:t>
      </w:r>
      <w:r w:rsidRPr="002365F6">
        <w:rPr>
          <w:rFonts w:cs="Times New Roman"/>
          <w:b w:val="0"/>
          <w:bCs w:val="0"/>
        </w:rPr>
        <w:t xml:space="preserve">i uzgodnień,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lastRenderedPageBreak/>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7A105C35" w14:textId="17E0505C" w:rsidR="0054387E" w:rsidRPr="00511DF7" w:rsidRDefault="0054387E" w:rsidP="002C711F">
      <w:pPr>
        <w:tabs>
          <w:tab w:val="left" w:pos="709"/>
        </w:tabs>
        <w:spacing w:line="360" w:lineRule="auto"/>
        <w:ind w:left="709" w:hanging="142"/>
        <w:rPr>
          <w:sz w:val="22"/>
        </w:rPr>
      </w:pP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lastRenderedPageBreak/>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784D5363"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opóźnienia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77777777"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14:paraId="4515AB6B" w14:textId="250B179C" w:rsidR="00DD0ADA" w:rsidRPr="002365F6" w:rsidRDefault="00DD0ADA" w:rsidP="002C711F">
      <w:pPr>
        <w:spacing w:line="360" w:lineRule="auto"/>
        <w:ind w:left="360"/>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w:t>
      </w:r>
      <w:proofErr w:type="spellStart"/>
      <w:r w:rsidRPr="00D767F3">
        <w:rPr>
          <w:b w:val="0"/>
          <w:bCs w:val="0"/>
          <w:lang w:eastAsia="pl-PL"/>
        </w:rPr>
        <w:t>ców</w:t>
      </w:r>
      <w:proofErr w:type="spellEnd"/>
      <w:r w:rsidRPr="00D767F3">
        <w:rPr>
          <w:b w:val="0"/>
          <w:bCs w:val="0"/>
          <w:lang w:eastAsia="pl-PL"/>
        </w:rPr>
        <w:t>).</w:t>
      </w:r>
      <w:r w:rsidR="00B65383" w:rsidRPr="00D767F3">
        <w:rPr>
          <w:rStyle w:val="Odwoanieprzypisudolnego"/>
          <w:b w:val="0"/>
          <w:bCs w:val="0"/>
          <w:lang w:eastAsia="pl-PL"/>
        </w:rPr>
        <w:footnoteReference w:id="1"/>
      </w:r>
    </w:p>
    <w:p w14:paraId="73918BB8" w14:textId="77777777"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w:t>
      </w:r>
      <w:proofErr w:type="spellStart"/>
      <w:r w:rsidRPr="002365F6">
        <w:rPr>
          <w:sz w:val="22"/>
          <w:lang w:eastAsia="pl-PL"/>
        </w:rPr>
        <w:t>ych</w:t>
      </w:r>
      <w:proofErr w:type="spellEnd"/>
      <w:r w:rsidRPr="002365F6">
        <w:rPr>
          <w:sz w:val="22"/>
          <w:lang w:eastAsia="pl-PL"/>
        </w:rPr>
        <w:t xml:space="preserve">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xml:space="preserve">, w celu wykazania spełniania warunków udziału w postępowaniu, Wykonawca jest obowiązany wykazać 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 xml:space="preserve">ykonawcy na </w:t>
      </w:r>
      <w:r w:rsidRPr="002365F6">
        <w:rPr>
          <w:sz w:val="22"/>
          <w:lang w:eastAsia="pl-PL"/>
        </w:rPr>
        <w:lastRenderedPageBreak/>
        <w:t>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lastRenderedPageBreak/>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 xml:space="preserve">zawiera postanowienia niezgodne z art. 463 ustawy </w:t>
      </w:r>
      <w:proofErr w:type="spellStart"/>
      <w:r w:rsidRPr="00B57D71">
        <w:rPr>
          <w:sz w:val="22"/>
          <w:lang w:eastAsia="pl-PL"/>
        </w:rPr>
        <w:t>pzp</w:t>
      </w:r>
      <w:proofErr w:type="spellEnd"/>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 xml:space="preserve">Zawarcie umowy przez Podwykonawcę z dalszymi podwykonawcami oraz zmiana przedmiotowych umów wymaga dopełnienia obowiązków wskazanych w niniejszej umowie dla umowy o podwykonawstwo zawieranej przez Wykonawcę z podwykonawcą, tj. w szczególności </w:t>
      </w:r>
      <w:r w:rsidRPr="00E65D88">
        <w:rPr>
          <w:sz w:val="22"/>
          <w:lang w:eastAsia="pl-PL"/>
        </w:rPr>
        <w:lastRenderedPageBreak/>
        <w:t>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77777777" w:rsidR="004F6F76" w:rsidRPr="002365F6" w:rsidRDefault="004F6F76"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5FAD8F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43426A75"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 …………</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 xml:space="preserve">b), do usunięcia wad lub usterek, bądź nie usunięcia wad lub usterek w określonym terminie Zamawiający ma prawo </w:t>
      </w:r>
      <w:r w:rsidRPr="002365F6">
        <w:rPr>
          <w:rFonts w:cs="Times New Roman"/>
        </w:rPr>
        <w:lastRenderedPageBreak/>
        <w:t>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0A91446B" w14:textId="44FF77AD" w:rsidR="00AF71B0" w:rsidRDefault="00AF71B0" w:rsidP="002C711F">
      <w:pPr>
        <w:pStyle w:val="Tytu"/>
        <w:numPr>
          <w:ilvl w:val="0"/>
          <w:numId w:val="0"/>
        </w:numPr>
        <w:spacing w:line="360" w:lineRule="auto"/>
        <w:jc w:val="center"/>
        <w:rPr>
          <w:rFonts w:ascii="Times New Roman" w:hAnsi="Times New Roman" w:cs="Times New Roman"/>
          <w:sz w:val="22"/>
          <w:szCs w:val="22"/>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51D00B0"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E5223F">
        <w:rPr>
          <w:sz w:val="22"/>
        </w:rPr>
        <w:t>1 2</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E5223F">
        <w:rPr>
          <w:sz w:val="22"/>
        </w:rPr>
        <w:t>jeden milion dwieście</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lastRenderedPageBreak/>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7AFA33B1"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492B8F6C"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 xml:space="preserve">zobowiązanie gwaranta/poręczyciela (np. banku, zakładu ubezpieczeń) do zapłaty  na rzecz zamawiającego w terminie maksymalnie 30 dni od żądania,  kwoty zabezpieczenia </w:t>
      </w:r>
      <w:r w:rsidRPr="00C50B1E">
        <w:rPr>
          <w:rFonts w:ascii="Times New Roman" w:hAnsi="Times New Roman" w:cs="Times New Roman"/>
          <w:sz w:val="22"/>
        </w:rPr>
        <w:lastRenderedPageBreak/>
        <w:t>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77777777" w:rsidR="00C50B1E" w:rsidRPr="00C50B1E" w:rsidRDefault="00C50B1E"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C29193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14:paraId="68B04A2F" w14:textId="7813A539"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4817AC7B" w:rsidR="00B379CC" w:rsidRPr="002365F6" w:rsidRDefault="00B823BF" w:rsidP="002C711F">
      <w:pPr>
        <w:pStyle w:val="Nagwek1"/>
        <w:numPr>
          <w:ilvl w:val="0"/>
          <w:numId w:val="0"/>
        </w:numPr>
        <w:spacing w:before="0" w:line="360" w:lineRule="auto"/>
        <w:rPr>
          <w:rFonts w:cs="Times New Roman"/>
        </w:rPr>
      </w:pPr>
      <w:r w:rsidRPr="002365F6">
        <w:rPr>
          <w:rFonts w:cs="Times New Roman"/>
        </w:rPr>
        <w:t>§</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lastRenderedPageBreak/>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134A223F"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w:t>
      </w:r>
      <w:proofErr w:type="spellStart"/>
      <w:r w:rsidRPr="002C37FA">
        <w:rPr>
          <w:sz w:val="22"/>
        </w:rPr>
        <w:t>ych</w:t>
      </w:r>
      <w:proofErr w:type="spellEnd"/>
      <w:r w:rsidRPr="002C37FA">
        <w:rPr>
          <w:sz w:val="22"/>
        </w:rPr>
        <w:t xml:space="preserve"> mowa w ust. 1, za 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2BA831E7"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C37FA">
        <w:rPr>
          <w:rFonts w:cs="Times New Roman"/>
        </w:rPr>
        <w:t>Wykonawca zapłaci Zamawiającemu kary umowne:</w:t>
      </w:r>
    </w:p>
    <w:p w14:paraId="01F2BB63" w14:textId="70AE7E1A"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941CDB">
        <w:t>……………..</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za każdy dzień opóźnienia,</w:t>
      </w:r>
    </w:p>
    <w:p w14:paraId="580B7BF6" w14:textId="2C6D6A55" w:rsidR="00AF5FA3" w:rsidRPr="002C37FA" w:rsidRDefault="007A410E" w:rsidP="002C711F">
      <w:pPr>
        <w:pStyle w:val="Nagwek3"/>
        <w:numPr>
          <w:ilvl w:val="0"/>
          <w:numId w:val="26"/>
        </w:numPr>
        <w:spacing w:line="360" w:lineRule="auto"/>
        <w:ind w:left="993" w:hanging="284"/>
      </w:pPr>
      <w:r w:rsidRPr="002C37FA">
        <w:lastRenderedPageBreak/>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xml:space="preserve">§ 7 ust. </w:t>
      </w:r>
      <w:r w:rsidR="00A535A4">
        <w:t>1</w:t>
      </w:r>
      <w:r w:rsidRPr="002C37FA">
        <w:t xml:space="preserve"> za każdy dzień opóźnienia,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4B9F72A5" w14:textId="697042F5" w:rsidR="00AF5FA3" w:rsidRPr="002C37FA" w:rsidRDefault="007A410E" w:rsidP="002C711F">
      <w:pPr>
        <w:pStyle w:val="Nagwek3"/>
        <w:numPr>
          <w:ilvl w:val="0"/>
          <w:numId w:val="26"/>
        </w:numPr>
        <w:spacing w:line="360" w:lineRule="auto"/>
        <w:ind w:left="993" w:hanging="284"/>
      </w:pPr>
      <w:r w:rsidRPr="002C37FA">
        <w:rPr>
          <w:rFonts w:cs="Times New Roman"/>
        </w:rPr>
        <w:t xml:space="preserve">za spowodowanie przerwy w realizacji Przedmiotu Umowy, z przyczyn leżących po stronie Wykonawcy – w wysokości </w:t>
      </w:r>
      <w:r w:rsidR="004D28B2" w:rsidRPr="002C37FA">
        <w:rPr>
          <w:rFonts w:cs="Times New Roman"/>
        </w:rPr>
        <w:t>1</w:t>
      </w:r>
      <w:r w:rsidR="00C50B1E">
        <w:rPr>
          <w:rFonts w:cs="Times New Roman"/>
        </w:rPr>
        <w:t xml:space="preserve"> </w:t>
      </w:r>
      <w:r w:rsidR="004D28B2" w:rsidRPr="002C37FA">
        <w:rPr>
          <w:rFonts w:cs="Times New Roman"/>
        </w:rPr>
        <w:t>0</w:t>
      </w:r>
      <w:r w:rsidRPr="002C37FA">
        <w:rPr>
          <w:rFonts w:cs="Times New Roman"/>
        </w:rPr>
        <w:t>00,00 PLN za każdy dzień przerwy,</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46FB2C96"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w przypadku opóźnienia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opóźnienia.</w:t>
      </w:r>
    </w:p>
    <w:p w14:paraId="3FD0ED9D" w14:textId="091E4568"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1 500,00 zł za każdy dzień opóźnienia.</w:t>
      </w:r>
    </w:p>
    <w:p w14:paraId="2D62728C" w14:textId="4E1FB838" w:rsidR="007A410E"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p>
    <w:p w14:paraId="31EB1F53" w14:textId="62E1DB4D" w:rsidR="00FC2D8E" w:rsidRPr="00FC2D8E" w:rsidRDefault="00FC2D8E" w:rsidP="00FC2D8E">
      <w:pPr>
        <w:pStyle w:val="Nagwek2"/>
        <w:keepLines w:val="0"/>
        <w:numPr>
          <w:ilvl w:val="1"/>
          <w:numId w:val="23"/>
        </w:numPr>
        <w:tabs>
          <w:tab w:val="clear" w:pos="1440"/>
          <w:tab w:val="num" w:pos="720"/>
        </w:tabs>
        <w:spacing w:before="0" w:line="360" w:lineRule="auto"/>
        <w:ind w:left="720"/>
      </w:pPr>
      <w:r w:rsidRPr="00FC2D8E">
        <w:t xml:space="preserve">Łączna </w:t>
      </w:r>
      <w:r w:rsidRPr="00FC2D8E">
        <w:rPr>
          <w:rFonts w:cs="Times New Roman"/>
        </w:rPr>
        <w:t>maksymalna</w:t>
      </w:r>
      <w:r w:rsidRPr="00FC2D8E">
        <w:t xml:space="preserve"> wysokość kar umownych, których mogą dochodzić Strony niniejszej Umowy wynosi 20% 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0" w:name="_Hlk56417080"/>
      <w:r w:rsidRPr="0030518C">
        <w:rPr>
          <w:rFonts w:ascii="Times New Roman" w:hAnsi="Times New Roman" w:cs="Times New Roman"/>
          <w:sz w:val="22"/>
          <w:szCs w:val="22"/>
        </w:rPr>
        <w:lastRenderedPageBreak/>
        <w:t>§ 1</w:t>
      </w:r>
      <w:r w:rsidR="007871C6" w:rsidRPr="0030518C">
        <w:rPr>
          <w:rFonts w:ascii="Times New Roman" w:hAnsi="Times New Roman" w:cs="Times New Roman"/>
          <w:sz w:val="22"/>
          <w:szCs w:val="22"/>
        </w:rPr>
        <w:t>5</w:t>
      </w:r>
    </w:p>
    <w:bookmarkEnd w:id="10"/>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lastRenderedPageBreak/>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w:t>
      </w:r>
      <w:proofErr w:type="spellStart"/>
      <w:r w:rsidRPr="007D4418">
        <w:rPr>
          <w:rFonts w:eastAsia="Calibri"/>
          <w:sz w:val="22"/>
          <w:lang w:eastAsia="en-US"/>
        </w:rPr>
        <w:t>Sekocenbud</w:t>
      </w:r>
      <w:proofErr w:type="spellEnd"/>
      <w:r w:rsidRPr="007D4418">
        <w:rPr>
          <w:rFonts w:eastAsia="Calibri"/>
          <w:sz w:val="22"/>
          <w:lang w:eastAsia="en-US"/>
        </w:rPr>
        <w:t xml:space="preserve">, </w:t>
      </w:r>
      <w:proofErr w:type="spellStart"/>
      <w:r w:rsidRPr="007D4418">
        <w:rPr>
          <w:rFonts w:eastAsia="Calibri"/>
          <w:sz w:val="22"/>
          <w:lang w:eastAsia="en-US"/>
        </w:rPr>
        <w:t>Orgbud</w:t>
      </w:r>
      <w:proofErr w:type="spellEnd"/>
      <w:r w:rsidRPr="007D4418">
        <w:rPr>
          <w:rFonts w:eastAsia="Calibri"/>
          <w:sz w:val="22"/>
          <w:lang w:eastAsia="en-US"/>
        </w:rPr>
        <w:t xml:space="preserve">, </w:t>
      </w:r>
      <w:proofErr w:type="spellStart"/>
      <w:r w:rsidRPr="007D4418">
        <w:rPr>
          <w:rFonts w:eastAsia="Calibri"/>
          <w:sz w:val="22"/>
          <w:lang w:eastAsia="en-US"/>
        </w:rPr>
        <w:t>Wacetob</w:t>
      </w:r>
      <w:proofErr w:type="spellEnd"/>
      <w:r w:rsidRPr="007D4418">
        <w:rPr>
          <w:rFonts w:eastAsia="Calibri"/>
          <w:sz w:val="22"/>
          <w:lang w:eastAsia="en-US"/>
        </w:rPr>
        <w:t xml:space="preserve">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w:t>
      </w:r>
      <w:proofErr w:type="spellStart"/>
      <w:r w:rsidRPr="007D4418">
        <w:rPr>
          <w:rFonts w:eastAsia="Calibri"/>
          <w:sz w:val="22"/>
          <w:lang w:eastAsia="en-US"/>
        </w:rPr>
        <w:t>Kp</w:t>
      </w:r>
      <w:proofErr w:type="spellEnd"/>
      <w:r w:rsidRPr="007D4418">
        <w:rPr>
          <w:rFonts w:eastAsia="Calibri"/>
          <w:sz w:val="22"/>
          <w:lang w:eastAsia="en-US"/>
        </w:rPr>
        <w:t>”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w:t>
      </w:r>
      <w:proofErr w:type="spellStart"/>
      <w:r w:rsidRPr="007D4418">
        <w:rPr>
          <w:rFonts w:eastAsia="Calibri"/>
          <w:sz w:val="22"/>
          <w:lang w:eastAsia="en-US"/>
        </w:rPr>
        <w:t>R+S+Kp</w:t>
      </w:r>
      <w:proofErr w:type="spellEnd"/>
      <w:r w:rsidRPr="007D4418">
        <w:rPr>
          <w:rFonts w:eastAsia="Calibri"/>
          <w:sz w:val="22"/>
          <w:lang w:eastAsia="en-US"/>
        </w:rPr>
        <w:t>)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lastRenderedPageBreak/>
        <w:t>h)</w:t>
      </w:r>
      <w:r>
        <w:rPr>
          <w:rFonts w:eastAsia="Calibri"/>
          <w:sz w:val="22"/>
          <w:lang w:eastAsia="en-US"/>
        </w:rPr>
        <w:tab/>
        <w:t xml:space="preserve">w sytuacji, o której mowa w ust. 2 </w:t>
      </w:r>
      <w:proofErr w:type="spellStart"/>
      <w:r>
        <w:rPr>
          <w:rFonts w:eastAsia="Calibri"/>
          <w:sz w:val="22"/>
          <w:lang w:eastAsia="en-US"/>
        </w:rPr>
        <w:t>ppkt</w:t>
      </w:r>
      <w:proofErr w:type="spellEnd"/>
      <w:r>
        <w:rPr>
          <w:rFonts w:eastAsia="Calibri"/>
          <w:sz w:val="22"/>
          <w:lang w:eastAsia="en-US"/>
        </w:rPr>
        <w:t xml:space="preserve">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w:t>
      </w:r>
      <w:proofErr w:type="spellStart"/>
      <w:r w:rsidRPr="007D4418">
        <w:rPr>
          <w:rFonts w:eastAsia="Calibri"/>
          <w:sz w:val="22"/>
          <w:lang w:eastAsia="en-US"/>
        </w:rPr>
        <w:t>funkcjonalno</w:t>
      </w:r>
      <w:proofErr w:type="spellEnd"/>
      <w:r w:rsidRPr="007D4418">
        <w:rPr>
          <w:rFonts w:eastAsia="Calibri"/>
          <w:sz w:val="22"/>
          <w:lang w:eastAsia="en-US"/>
        </w:rPr>
        <w:t xml:space="preserve">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lastRenderedPageBreak/>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lastRenderedPageBreak/>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307FF737" w:rsidR="00503346" w:rsidRDefault="00503346" w:rsidP="00844BC7">
      <w:pPr>
        <w:pStyle w:val="tytuparagrafu"/>
        <w:spacing w:after="0" w:line="360" w:lineRule="auto"/>
        <w:jc w:val="both"/>
        <w:rPr>
          <w:rFonts w:ascii="Times New Roman" w:hAnsi="Times New Roman" w:cs="Times New Roman"/>
          <w:sz w:val="22"/>
          <w:szCs w:val="22"/>
        </w:rPr>
      </w:pPr>
    </w:p>
    <w:p w14:paraId="6E565281" w14:textId="161596CD"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1" w:name="_Hlk79695005"/>
      <w:bookmarkStart w:id="12" w:name="_Hlk56411441"/>
      <w:r w:rsidRPr="0030518C">
        <w:rPr>
          <w:rFonts w:ascii="Times New Roman" w:hAnsi="Times New Roman" w:cs="Times New Roman"/>
          <w:sz w:val="22"/>
          <w:szCs w:val="22"/>
        </w:rPr>
        <w:t>§ 1</w:t>
      </w:r>
      <w:r w:rsidR="001E144F">
        <w:rPr>
          <w:rFonts w:ascii="Times New Roman" w:hAnsi="Times New Roman" w:cs="Times New Roman"/>
          <w:sz w:val="22"/>
          <w:szCs w:val="22"/>
        </w:rPr>
        <w:t>6</w:t>
      </w:r>
    </w:p>
    <w:bookmarkEnd w:id="11"/>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lastRenderedPageBreak/>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55860D70" w14:textId="05B1AA96"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0BE9FB49" w14:textId="2A59DB3D" w:rsidR="001E144F" w:rsidRDefault="001E144F" w:rsidP="001E144F">
      <w:pPr>
        <w:rPr>
          <w:lang w:eastAsia="pl-PL"/>
        </w:rPr>
      </w:pPr>
    </w:p>
    <w:p w14:paraId="543C8415" w14:textId="30A3FA10" w:rsidR="001E144F" w:rsidRDefault="001E144F" w:rsidP="001E144F">
      <w:pPr>
        <w:rPr>
          <w:lang w:eastAsia="pl-PL"/>
        </w:rPr>
      </w:pPr>
    </w:p>
    <w:p w14:paraId="1DBD08E3" w14:textId="780AB478" w:rsidR="001E144F" w:rsidRDefault="001E144F" w:rsidP="001E144F">
      <w:pPr>
        <w:rPr>
          <w:lang w:eastAsia="pl-PL"/>
        </w:rPr>
      </w:pPr>
    </w:p>
    <w:p w14:paraId="4DBA4EC9" w14:textId="77777777" w:rsidR="001E144F" w:rsidRPr="001E144F" w:rsidRDefault="001E144F" w:rsidP="001E144F">
      <w:pPr>
        <w:rPr>
          <w:lang w:eastAsia="pl-PL"/>
        </w:rPr>
      </w:pPr>
    </w:p>
    <w:p w14:paraId="26092D39" w14:textId="1F867E8D"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lastRenderedPageBreak/>
        <w:t>§ 1</w:t>
      </w:r>
      <w:r w:rsidR="001E144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2"/>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844BC7">
      <w:pPr>
        <w:pStyle w:val="nagl2a"/>
        <w:spacing w:line="360" w:lineRule="auto"/>
      </w:pPr>
      <w:r>
        <w:t>SWZ;</w:t>
      </w:r>
    </w:p>
    <w:p w14:paraId="6E4201F6" w14:textId="00062F1B" w:rsidR="00844BC7" w:rsidRDefault="00844BC7" w:rsidP="00844BC7">
      <w:pPr>
        <w:pStyle w:val="nagl2a"/>
        <w:spacing w:line="360" w:lineRule="auto"/>
      </w:pPr>
      <w:r>
        <w:t>Kosztorys ofertowy;</w:t>
      </w:r>
    </w:p>
    <w:p w14:paraId="0849C09B" w14:textId="4E5A77E3" w:rsidR="00844BC7" w:rsidRDefault="00844BC7" w:rsidP="00844BC7">
      <w:pPr>
        <w:pStyle w:val="nagl2a"/>
        <w:spacing w:line="360" w:lineRule="auto"/>
      </w:pPr>
      <w:r>
        <w:t xml:space="preserve">Dokumentacja </w:t>
      </w:r>
      <w:r w:rsidR="00FC2D8E">
        <w:t xml:space="preserve">projektowa </w:t>
      </w:r>
      <w:r w:rsidR="00FC2D8E" w:rsidRPr="00FC2D8E">
        <w:t>(Dokumentacja Techniczna – branża drogowa Dokumentacja Techniczna – branża sanitarna, Specyfikacja Techniczna Wykonania i Odbioru Robót (</w:t>
      </w:r>
      <w:proofErr w:type="spellStart"/>
      <w:r w:rsidR="00FC2D8E" w:rsidRPr="00FC2D8E">
        <w:t>STWiOR</w:t>
      </w:r>
      <w:proofErr w:type="spellEnd"/>
      <w:r w:rsidR="00FC2D8E" w:rsidRPr="00FC2D8E">
        <w:t>) - branża drogowa, Specyfikacja Techniczna Wykonania i Odbioru Robót (</w:t>
      </w:r>
      <w:proofErr w:type="spellStart"/>
      <w:r w:rsidR="00FC2D8E" w:rsidRPr="00FC2D8E">
        <w:t>STWiOR</w:t>
      </w:r>
      <w:proofErr w:type="spellEnd"/>
      <w:r w:rsidR="00FC2D8E" w:rsidRPr="00FC2D8E">
        <w:t xml:space="preserve">) – branża – sanitarna, </w:t>
      </w:r>
      <w:r w:rsidR="006F4D1E" w:rsidRPr="006F4D1E">
        <w:t>Przedmiar Robót - branża drogowa, Przedmiar Robót -. branża sanitarna</w:t>
      </w:r>
      <w:r w:rsidR="00FC2D8E" w:rsidRPr="00FC2D8E">
        <w:t>)</w:t>
      </w:r>
      <w:r>
        <w:t>;</w:t>
      </w:r>
    </w:p>
    <w:p w14:paraId="697A0744" w14:textId="4C56DD87" w:rsidR="00844BC7" w:rsidRDefault="00844BC7" w:rsidP="00844BC7">
      <w:pPr>
        <w:pStyle w:val="nagl2a"/>
        <w:spacing w:line="360" w:lineRule="auto"/>
      </w:pPr>
      <w:r>
        <w:t>Oferta Wykonawcy;</w:t>
      </w:r>
    </w:p>
    <w:p w14:paraId="3B7D67FF" w14:textId="6D343456" w:rsidR="00844BC7" w:rsidRDefault="00844BC7" w:rsidP="00844BC7">
      <w:pPr>
        <w:pStyle w:val="nagl2a"/>
        <w:spacing w:line="360" w:lineRule="auto"/>
      </w:pPr>
      <w:r>
        <w:t>Harmonogram rzeczowo-finansowy (Tabela elementów rozliczeniowych);</w:t>
      </w:r>
    </w:p>
    <w:p w14:paraId="06C8C08E" w14:textId="7ACA7773" w:rsidR="001E144F" w:rsidRPr="00844BC7" w:rsidRDefault="001E144F" w:rsidP="001E144F">
      <w:pPr>
        <w:pStyle w:val="nagl2a"/>
        <w:spacing w:line="360" w:lineRule="auto"/>
      </w:pPr>
      <w:r w:rsidRPr="001E144F">
        <w:t>Wypełniony przez Wykonawcę Przedmiar Robót</w:t>
      </w:r>
    </w:p>
    <w:p w14:paraId="249B3A1B" w14:textId="638FA934" w:rsidR="00E45E89" w:rsidRPr="0030518C" w:rsidRDefault="007A410E" w:rsidP="001E144F">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32BB8969" w14:textId="7F6D6422" w:rsidR="00645A0F" w:rsidRPr="001E144F" w:rsidRDefault="00E31B43" w:rsidP="001E144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sectPr w:rsidR="00645A0F" w:rsidRPr="001E144F" w:rsidSect="002C37FA">
      <w:headerReference w:type="default" r:id="rId12"/>
      <w:footerReference w:type="default" r:id="rId13"/>
      <w:pgSz w:w="11906" w:h="16838"/>
      <w:pgMar w:top="1417" w:right="1417" w:bottom="1417" w:left="1417" w:header="568" w:footer="48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ata" w:date="2021-09-08T18:14:00Z" w:initials="B">
    <w:p w14:paraId="0B30929B" w14:textId="0C7741DD" w:rsidR="00C264B7" w:rsidRDefault="00C264B7" w:rsidP="00C264B7">
      <w:pPr>
        <w:pStyle w:val="Tekstkomentarza"/>
      </w:pPr>
      <w:r>
        <w:rPr>
          <w:rStyle w:val="Odwoaniedokomentarza"/>
        </w:rPr>
        <w:annotationRef/>
      </w:r>
      <w:r>
        <w:t xml:space="preserve"> Zgodnie z art. 436 termin wykonania powinien być określony w dniach, tygodniach, miesiącach lub latach, chyba że wskazanie daty wykonania umowy jest uzasadnione obiektywną przyczyną. Moim zdaniem zachodzi przesłanka wskazania konkretnej daty. Zadanie współfinansowane jest z ustwy o przeciwdziałaniu COVID i należy rozliczyć (złożyć raport z wykonania do 30.03.2022.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3092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7C01" w16cex:dateUtc="2021-09-08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0929B" w16cid:durableId="24E37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70C4" w14:textId="77777777" w:rsidR="001C6DAA" w:rsidRDefault="001C6DAA">
      <w:r>
        <w:separator/>
      </w:r>
    </w:p>
  </w:endnote>
  <w:endnote w:type="continuationSeparator" w:id="0">
    <w:p w14:paraId="7AEAB91E" w14:textId="77777777" w:rsidR="001C6DAA" w:rsidRDefault="001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EndPr/>
    <w:sdtContent>
      <w:sdt>
        <w:sdtPr>
          <w:id w:val="-1705238520"/>
          <w:docPartObj>
            <w:docPartGallery w:val="Page Numbers (Top of Page)"/>
            <w:docPartUnique/>
          </w:docPartObj>
        </w:sdtPr>
        <w:sdtEndPr/>
        <w:sdtContent>
          <w:p w14:paraId="5C7A514A" w14:textId="688F34A9"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Pr>
                <w:noProof/>
                <w:sz w:val="16"/>
                <w:szCs w:val="16"/>
              </w:rPr>
              <w:t>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Pr>
                <w:noProof/>
                <w:sz w:val="16"/>
                <w:szCs w:val="16"/>
              </w:rPr>
              <w:t>13</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28E2" w14:textId="77777777" w:rsidR="001C6DAA" w:rsidRDefault="001C6DAA">
      <w:r>
        <w:separator/>
      </w:r>
    </w:p>
  </w:footnote>
  <w:footnote w:type="continuationSeparator" w:id="0">
    <w:p w14:paraId="186EE0D3" w14:textId="77777777" w:rsidR="001C6DAA" w:rsidRDefault="001C6DAA">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7428A38F" w:rsidR="008C3594" w:rsidRDefault="008C3594" w:rsidP="00784C80">
    <w:pPr>
      <w:pStyle w:val="Nagwek"/>
      <w:tabs>
        <w:tab w:val="left" w:pos="3870"/>
        <w:tab w:val="left" w:pos="7590"/>
      </w:tabs>
      <w:rPr>
        <w:i/>
        <w:sz w:val="20"/>
        <w:szCs w:val="20"/>
      </w:rPr>
    </w:pPr>
    <w:r w:rsidRPr="00414A80">
      <w:rPr>
        <w:i/>
        <w:sz w:val="20"/>
        <w:szCs w:val="20"/>
      </w:rPr>
      <w:t>Nr sprawy:</w:t>
    </w:r>
    <w:r>
      <w:rPr>
        <w:i/>
        <w:sz w:val="20"/>
        <w:szCs w:val="20"/>
      </w:rPr>
      <w:t>……………………………</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9"/>
  </w:num>
  <w:num w:numId="3">
    <w:abstractNumId w:val="7"/>
  </w:num>
  <w:num w:numId="4">
    <w:abstractNumId w:val="6"/>
  </w:num>
  <w:num w:numId="5">
    <w:abstractNumId w:val="17"/>
  </w:num>
  <w:num w:numId="6">
    <w:abstractNumId w:val="34"/>
  </w:num>
  <w:num w:numId="7">
    <w:abstractNumId w:val="29"/>
  </w:num>
  <w:num w:numId="8">
    <w:abstractNumId w:val="3"/>
  </w:num>
  <w:num w:numId="9">
    <w:abstractNumId w:val="20"/>
  </w:num>
  <w:num w:numId="10">
    <w:abstractNumId w:val="27"/>
  </w:num>
  <w:num w:numId="11">
    <w:abstractNumId w:val="21"/>
  </w:num>
  <w:num w:numId="12">
    <w:abstractNumId w:val="11"/>
  </w:num>
  <w:num w:numId="13">
    <w:abstractNumId w:val="23"/>
  </w:num>
  <w:num w:numId="14">
    <w:abstractNumId w:val="28"/>
  </w:num>
  <w:num w:numId="15">
    <w:abstractNumId w:val="8"/>
  </w:num>
  <w:num w:numId="16">
    <w:abstractNumId w:val="36"/>
  </w:num>
  <w:num w:numId="17">
    <w:abstractNumId w:val="14"/>
  </w:num>
  <w:num w:numId="18">
    <w:abstractNumId w:val="9"/>
  </w:num>
  <w:num w:numId="19">
    <w:abstractNumId w:val="31"/>
  </w:num>
  <w:num w:numId="20">
    <w:abstractNumId w:val="32"/>
  </w:num>
  <w:num w:numId="21">
    <w:abstractNumId w:val="4"/>
  </w:num>
  <w:num w:numId="22">
    <w:abstractNumId w:val="18"/>
  </w:num>
  <w:num w:numId="23">
    <w:abstractNumId w:val="33"/>
  </w:num>
  <w:num w:numId="24">
    <w:abstractNumId w:val="13"/>
  </w:num>
  <w:num w:numId="25">
    <w:abstractNumId w:val="10"/>
  </w:num>
  <w:num w:numId="26">
    <w:abstractNumId w:val="35"/>
  </w:num>
  <w:num w:numId="27">
    <w:abstractNumId w:val="1"/>
  </w:num>
  <w:num w:numId="28">
    <w:abstractNumId w:val="0"/>
  </w:num>
  <w:num w:numId="29">
    <w:abstractNumId w:val="5"/>
  </w:num>
  <w:num w:numId="30">
    <w:abstractNumId w:val="12"/>
  </w:num>
  <w:num w:numId="31">
    <w:abstractNumId w:val="24"/>
  </w:num>
  <w:num w:numId="32">
    <w:abstractNumId w:val="22"/>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22"/>
  </w:num>
  <w:num w:numId="36">
    <w:abstractNumId w:val="22"/>
  </w:num>
  <w:num w:numId="37">
    <w:abstractNumId w:val="22"/>
  </w:num>
  <w:num w:numId="38">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w15:presenceInfo w15:providerId="None" w15:userId="Be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2C96"/>
    <w:rsid w:val="000B4C20"/>
    <w:rsid w:val="000B5315"/>
    <w:rsid w:val="000B5479"/>
    <w:rsid w:val="000C43B7"/>
    <w:rsid w:val="000C6E09"/>
    <w:rsid w:val="000D0766"/>
    <w:rsid w:val="000D12D3"/>
    <w:rsid w:val="000D143D"/>
    <w:rsid w:val="000D15D6"/>
    <w:rsid w:val="000D3315"/>
    <w:rsid w:val="000D4A22"/>
    <w:rsid w:val="000D5660"/>
    <w:rsid w:val="000D601C"/>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1A22"/>
    <w:rsid w:val="001437A4"/>
    <w:rsid w:val="00144905"/>
    <w:rsid w:val="00144A47"/>
    <w:rsid w:val="00145339"/>
    <w:rsid w:val="00146042"/>
    <w:rsid w:val="001473BC"/>
    <w:rsid w:val="0015028F"/>
    <w:rsid w:val="0015053A"/>
    <w:rsid w:val="00151290"/>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5671"/>
    <w:rsid w:val="00185966"/>
    <w:rsid w:val="00186AA4"/>
    <w:rsid w:val="00187715"/>
    <w:rsid w:val="00187A45"/>
    <w:rsid w:val="00190378"/>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DAA"/>
    <w:rsid w:val="001C6EF8"/>
    <w:rsid w:val="001D134C"/>
    <w:rsid w:val="001D2140"/>
    <w:rsid w:val="001D2A20"/>
    <w:rsid w:val="001D439E"/>
    <w:rsid w:val="001D5E86"/>
    <w:rsid w:val="001E144F"/>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52C9"/>
    <w:rsid w:val="00217380"/>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6522"/>
    <w:rsid w:val="002E6C18"/>
    <w:rsid w:val="002F00AF"/>
    <w:rsid w:val="002F0F7B"/>
    <w:rsid w:val="002F2423"/>
    <w:rsid w:val="002F2A63"/>
    <w:rsid w:val="002F2DF9"/>
    <w:rsid w:val="002F50B6"/>
    <w:rsid w:val="002F58E9"/>
    <w:rsid w:val="002F61FD"/>
    <w:rsid w:val="002F6664"/>
    <w:rsid w:val="002F677E"/>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1562"/>
    <w:rsid w:val="003C33FB"/>
    <w:rsid w:val="003C3D8F"/>
    <w:rsid w:val="003C546E"/>
    <w:rsid w:val="003C6689"/>
    <w:rsid w:val="003C6C04"/>
    <w:rsid w:val="003D3A42"/>
    <w:rsid w:val="003E001B"/>
    <w:rsid w:val="003E076F"/>
    <w:rsid w:val="003E0ECA"/>
    <w:rsid w:val="003E26CE"/>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4D7"/>
    <w:rsid w:val="004B3F0F"/>
    <w:rsid w:val="004B44B5"/>
    <w:rsid w:val="004B5AFE"/>
    <w:rsid w:val="004B5CE6"/>
    <w:rsid w:val="004B623C"/>
    <w:rsid w:val="004B7946"/>
    <w:rsid w:val="004C18F3"/>
    <w:rsid w:val="004C49B4"/>
    <w:rsid w:val="004C59EC"/>
    <w:rsid w:val="004C7A74"/>
    <w:rsid w:val="004D0E27"/>
    <w:rsid w:val="004D28B2"/>
    <w:rsid w:val="004D54D2"/>
    <w:rsid w:val="004D55EA"/>
    <w:rsid w:val="004E5844"/>
    <w:rsid w:val="004E695F"/>
    <w:rsid w:val="004F07E0"/>
    <w:rsid w:val="004F1ABE"/>
    <w:rsid w:val="004F5822"/>
    <w:rsid w:val="004F5E9C"/>
    <w:rsid w:val="004F6630"/>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4D1E"/>
    <w:rsid w:val="006F556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3D"/>
    <w:rsid w:val="008E7A55"/>
    <w:rsid w:val="008F2C8C"/>
    <w:rsid w:val="0090174D"/>
    <w:rsid w:val="009021F4"/>
    <w:rsid w:val="009024B7"/>
    <w:rsid w:val="00902820"/>
    <w:rsid w:val="00903B91"/>
    <w:rsid w:val="009060C8"/>
    <w:rsid w:val="00906300"/>
    <w:rsid w:val="0090701C"/>
    <w:rsid w:val="00907B4F"/>
    <w:rsid w:val="00910B6E"/>
    <w:rsid w:val="009148FE"/>
    <w:rsid w:val="009161CC"/>
    <w:rsid w:val="009206C4"/>
    <w:rsid w:val="00920AE1"/>
    <w:rsid w:val="00920D80"/>
    <w:rsid w:val="00921647"/>
    <w:rsid w:val="0092776C"/>
    <w:rsid w:val="00931F80"/>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22D9"/>
    <w:rsid w:val="009B22EA"/>
    <w:rsid w:val="009B4947"/>
    <w:rsid w:val="009B50CC"/>
    <w:rsid w:val="009B647D"/>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5E0D"/>
    <w:rsid w:val="00A10AC0"/>
    <w:rsid w:val="00A11FC6"/>
    <w:rsid w:val="00A146D0"/>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E12"/>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081"/>
    <w:rsid w:val="00BB74F7"/>
    <w:rsid w:val="00BB7B95"/>
    <w:rsid w:val="00BC1F1E"/>
    <w:rsid w:val="00BC226D"/>
    <w:rsid w:val="00BC24D2"/>
    <w:rsid w:val="00BC6902"/>
    <w:rsid w:val="00BD39AD"/>
    <w:rsid w:val="00BD411B"/>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64B7"/>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7D6C"/>
    <w:rsid w:val="00D00288"/>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223F"/>
    <w:rsid w:val="00E53B42"/>
    <w:rsid w:val="00E558C3"/>
    <w:rsid w:val="00E55EDB"/>
    <w:rsid w:val="00E56267"/>
    <w:rsid w:val="00E5716A"/>
    <w:rsid w:val="00E57337"/>
    <w:rsid w:val="00E609E5"/>
    <w:rsid w:val="00E60BF9"/>
    <w:rsid w:val="00E65335"/>
    <w:rsid w:val="00E65D88"/>
    <w:rsid w:val="00E66785"/>
    <w:rsid w:val="00E70C18"/>
    <w:rsid w:val="00E71C94"/>
    <w:rsid w:val="00E730FA"/>
    <w:rsid w:val="00E7646A"/>
    <w:rsid w:val="00E770BF"/>
    <w:rsid w:val="00E80388"/>
    <w:rsid w:val="00E81982"/>
    <w:rsid w:val="00E83972"/>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2D8E"/>
    <w:rsid w:val="00FC50B6"/>
    <w:rsid w:val="00FC5A6B"/>
    <w:rsid w:val="00FD5315"/>
    <w:rsid w:val="00FD5435"/>
    <w:rsid w:val="00FD5C05"/>
    <w:rsid w:val="00FD5D93"/>
    <w:rsid w:val="00FE07E8"/>
    <w:rsid w:val="00FE132A"/>
    <w:rsid w:val="00FE654C"/>
    <w:rsid w:val="00FE71BA"/>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styleId="Nierozpoznanawzmianka">
    <w:name w:val="Unresolved Mention"/>
    <w:basedOn w:val="Domylnaczcionkaakapitu"/>
    <w:uiPriority w:val="99"/>
    <w:semiHidden/>
    <w:unhideWhenUsed/>
    <w:rsid w:val="00DB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E51C-BDDB-43CD-818A-090FBB6D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8617</Words>
  <Characters>51707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60204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Beata</cp:lastModifiedBy>
  <cp:revision>2</cp:revision>
  <cp:lastPrinted>2019-10-09T09:42:00Z</cp:lastPrinted>
  <dcterms:created xsi:type="dcterms:W3CDTF">2021-09-16T15:14:00Z</dcterms:created>
  <dcterms:modified xsi:type="dcterms:W3CDTF">2021-09-16T15:14:00Z</dcterms:modified>
</cp:coreProperties>
</file>