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039C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039C8">
        <w:rPr>
          <w:rFonts w:cstheme="minorHAnsi"/>
          <w:b/>
          <w:sz w:val="20"/>
          <w:szCs w:val="20"/>
        </w:rPr>
        <w:t xml:space="preserve">Dostawa sprzętu fizyko-chemicznego pomiarowego i laboratoryjnego dla Uniwersytetu Ekonomicznego </w:t>
      </w:r>
      <w:r>
        <w:rPr>
          <w:rFonts w:cstheme="minorHAnsi"/>
          <w:b/>
          <w:sz w:val="20"/>
          <w:szCs w:val="20"/>
        </w:rPr>
        <w:br/>
      </w:r>
      <w:r w:rsidRPr="00E039C8">
        <w:rPr>
          <w:rFonts w:cstheme="minorHAnsi"/>
          <w:b/>
          <w:sz w:val="20"/>
          <w:szCs w:val="20"/>
        </w:rPr>
        <w:t xml:space="preserve">w Poznaniu </w:t>
      </w:r>
      <w:r w:rsidR="001A5A6D">
        <w:rPr>
          <w:rFonts w:cstheme="minorHAnsi"/>
          <w:b/>
          <w:sz w:val="20"/>
          <w:szCs w:val="20"/>
        </w:rPr>
        <w:t>(ZP/</w:t>
      </w:r>
      <w:r w:rsidR="00BC0453">
        <w:rPr>
          <w:rFonts w:cstheme="minorHAnsi"/>
          <w:b/>
          <w:sz w:val="20"/>
          <w:szCs w:val="20"/>
        </w:rPr>
        <w:t>021</w:t>
      </w:r>
      <w:r w:rsidR="001A5A6D" w:rsidRPr="0010443C">
        <w:rPr>
          <w:rFonts w:cstheme="minorHAnsi"/>
          <w:b/>
          <w:sz w:val="20"/>
          <w:szCs w:val="20"/>
        </w:rPr>
        <w:t>/2</w:t>
      </w:r>
      <w:r w:rsidR="00EC2A0D">
        <w:rPr>
          <w:rFonts w:cstheme="minorHAnsi"/>
          <w:b/>
          <w:sz w:val="20"/>
          <w:szCs w:val="20"/>
        </w:rPr>
        <w:t>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 xml:space="preserve">Dostawa sprzętu fizyko-chemicznego pomiarowego i laboratoryjnego 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>dla Uniwersytetu Ekonomicznego w Poznaniu</w:t>
      </w:r>
    </w:p>
    <w:p w:rsidR="00F64FD3" w:rsidRPr="00722AE9" w:rsidRDefault="00F64FD3" w:rsidP="00F64FD3">
      <w:pPr>
        <w:tabs>
          <w:tab w:val="right" w:pos="2399"/>
        </w:tabs>
        <w:autoSpaceDE w:val="0"/>
        <w:autoSpaceDN w:val="0"/>
        <w:ind w:firstLine="426"/>
        <w:jc w:val="center"/>
        <w:rPr>
          <w:rFonts w:cs="Calibri"/>
          <w:b/>
          <w:bCs/>
          <w:szCs w:val="20"/>
        </w:rPr>
      </w:pPr>
    </w:p>
    <w:p w:rsidR="00F64FD3" w:rsidRPr="001567A0" w:rsidRDefault="00F64FD3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567A0">
        <w:rPr>
          <w:rFonts w:cstheme="minorHAnsi"/>
          <w:sz w:val="20"/>
          <w:szCs w:val="20"/>
        </w:rPr>
        <w:t>Oferujemy realizację zamówienia  za cenę:</w:t>
      </w:r>
    </w:p>
    <w:p w:rsidR="001567A0" w:rsidRPr="001567A0" w:rsidRDefault="00F64FD3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 – </w:t>
      </w:r>
      <w:r w:rsidR="001567A0" w:rsidRPr="001567A0">
        <w:rPr>
          <w:rFonts w:eastAsia="Times New Roman" w:cs="Calibri"/>
          <w:b/>
          <w:color w:val="000000"/>
          <w:szCs w:val="20"/>
        </w:rPr>
        <w:t xml:space="preserve">WAGI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0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5A08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II: SPRZĘT LABORATORYJNY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515D05" w:rsidRDefault="00515D05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  <w:sectPr w:rsidR="00515D05" w:rsidSect="00B47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:rsidR="001567A0" w:rsidRPr="001567A0" w:rsidRDefault="001567A0" w:rsidP="001567A0">
      <w:pPr>
        <w:widowControl w:val="0"/>
        <w:adjustRightInd w:val="0"/>
        <w:spacing w:before="24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lastRenderedPageBreak/>
        <w:t>Część III: SPEKTROFOTOMETR UV-VIS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IV: MODERNIZACJA CHROMATOGRAFU FLASH/PREP HPLC GILSON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>Część V: LABORATORYJNY AUTOMAT MYJĄCO-DEZYNFEKUJĄCY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0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>Część VI: GLUTOWNIK MECHANICZNY DWUSTANOWISKOWY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83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>Część VII: STOŁOWY LABORATORYJNY LIOFILIZATOR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VIII: CYFROWY WISKOZYMETR ROTACYJNY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</w:p>
    <w:p w:rsidR="00F64FD3" w:rsidRPr="00791C39" w:rsidRDefault="001567A0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>Część IX: SPECTROFOTOMETR FT-IR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bookmarkStart w:id="0" w:name="_GoBack" w:colFirst="0" w:colLast="0"/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bookmarkEnd w:id="0"/>
      <w:tr w:rsidR="00F64FD3" w:rsidRPr="00722AE9" w:rsidTr="00194BCC">
        <w:trPr>
          <w:trHeight w:val="41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4C42BA" w:rsidRDefault="004C42BA" w:rsidP="004C42BA">
      <w:pPr>
        <w:spacing w:before="120" w:after="60" w:line="240" w:lineRule="auto"/>
        <w:jc w:val="both"/>
        <w:rPr>
          <w:rFonts w:cs="Calibri"/>
          <w:szCs w:val="20"/>
        </w:rPr>
      </w:pPr>
    </w:p>
    <w:p w:rsidR="00F64FD3" w:rsidRPr="00515D05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</w:t>
      </w:r>
      <w:r w:rsidR="00A73CBA" w:rsidRPr="00515D05">
        <w:rPr>
          <w:rFonts w:cstheme="minorHAnsi"/>
          <w:sz w:val="20"/>
          <w:szCs w:val="20"/>
        </w:rPr>
        <w:t>3</w:t>
      </w:r>
      <w:r w:rsidRPr="00515D05">
        <w:rPr>
          <w:rFonts w:cstheme="minorHAnsi"/>
          <w:sz w:val="20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3129CC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3129CC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3129CC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3129CC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515D05">
          <w:headerReference w:type="default" r:id="rId13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753CFF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129CC" w:rsidRPr="0010443C" w:rsidRDefault="003129CC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039C8" w:rsidRPr="00E039C8">
        <w:rPr>
          <w:rFonts w:cstheme="minorHAnsi"/>
          <w:b/>
          <w:sz w:val="20"/>
          <w:szCs w:val="20"/>
        </w:rPr>
        <w:t>Dostawa sprzętu fizyko-chemicznego pomiarowego i laboratoryjnego dla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10443C" w:rsidRDefault="001A5A6D" w:rsidP="003129CC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sectPr w:rsidR="001A5A6D" w:rsidRPr="0010443C" w:rsidSect="00B4754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68" w:rsidRDefault="00FF5868" w:rsidP="001A5A6D">
      <w:pPr>
        <w:spacing w:after="0" w:line="240" w:lineRule="auto"/>
      </w:pPr>
      <w:r>
        <w:separator/>
      </w:r>
    </w:p>
  </w:endnote>
  <w:endnote w:type="continuationSeparator" w:id="0">
    <w:p w:rsidR="00FF5868" w:rsidRDefault="00FF5868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53" w:rsidRDefault="00BC04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53" w:rsidRDefault="00BC045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Default="00B52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68" w:rsidRDefault="00FF5868" w:rsidP="001A5A6D">
      <w:pPr>
        <w:spacing w:after="0" w:line="240" w:lineRule="auto"/>
      </w:pPr>
      <w:r>
        <w:separator/>
      </w:r>
    </w:p>
  </w:footnote>
  <w:footnote w:type="continuationSeparator" w:id="0">
    <w:p w:rsidR="00FF5868" w:rsidRDefault="00FF5868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53" w:rsidRDefault="00BC04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53" w:rsidRDefault="00BC04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53" w:rsidRDefault="00BC045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05" w:rsidRDefault="00515D05" w:rsidP="00515D05">
    <w:pPr>
      <w:pStyle w:val="Nagwek"/>
    </w:pPr>
    <w:r w:rsidRPr="00515D05">
      <w:t>Nr postępowania: ZP/</w:t>
    </w:r>
    <w:r w:rsidR="00BC0453">
      <w:t>021</w:t>
    </w:r>
    <w:r w:rsidRPr="00515D05">
      <w:t>/2</w:t>
    </w:r>
    <w:r w:rsidR="00EC2A0D">
      <w:t>3</w:t>
    </w:r>
  </w:p>
  <w:p w:rsidR="00BC0453" w:rsidRPr="00515D05" w:rsidRDefault="00BC0453" w:rsidP="00515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5A6D"/>
    <w:rsid w:val="000411B4"/>
    <w:rsid w:val="00140F7A"/>
    <w:rsid w:val="001567A0"/>
    <w:rsid w:val="001A0A2B"/>
    <w:rsid w:val="001A5A6D"/>
    <w:rsid w:val="001B74E0"/>
    <w:rsid w:val="00215E11"/>
    <w:rsid w:val="002224DC"/>
    <w:rsid w:val="003052D9"/>
    <w:rsid w:val="003129CC"/>
    <w:rsid w:val="00371924"/>
    <w:rsid w:val="004122BA"/>
    <w:rsid w:val="00471165"/>
    <w:rsid w:val="004A7E04"/>
    <w:rsid w:val="004C42BA"/>
    <w:rsid w:val="004F13B2"/>
    <w:rsid w:val="00515D05"/>
    <w:rsid w:val="00554086"/>
    <w:rsid w:val="00587911"/>
    <w:rsid w:val="005A0816"/>
    <w:rsid w:val="005C7FD9"/>
    <w:rsid w:val="00650FD1"/>
    <w:rsid w:val="006A4A7C"/>
    <w:rsid w:val="006B045D"/>
    <w:rsid w:val="006C21DE"/>
    <w:rsid w:val="0074547D"/>
    <w:rsid w:val="00753CFF"/>
    <w:rsid w:val="00865313"/>
    <w:rsid w:val="009242DD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D21EB"/>
    <w:rsid w:val="00CF015B"/>
    <w:rsid w:val="00D17D92"/>
    <w:rsid w:val="00D86BE1"/>
    <w:rsid w:val="00D9536E"/>
    <w:rsid w:val="00E017E0"/>
    <w:rsid w:val="00E02662"/>
    <w:rsid w:val="00E039C8"/>
    <w:rsid w:val="00E238FD"/>
    <w:rsid w:val="00EC2A0D"/>
    <w:rsid w:val="00ED6B07"/>
    <w:rsid w:val="00EE4541"/>
    <w:rsid w:val="00F50C47"/>
    <w:rsid w:val="00F64FD3"/>
    <w:rsid w:val="00F661B8"/>
    <w:rsid w:val="00FE2A17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38912</cp:lastModifiedBy>
  <cp:revision>2</cp:revision>
  <cp:lastPrinted>2021-05-10T12:17:00Z</cp:lastPrinted>
  <dcterms:created xsi:type="dcterms:W3CDTF">2023-04-26T06:47:00Z</dcterms:created>
  <dcterms:modified xsi:type="dcterms:W3CDTF">2023-04-26T06:47:00Z</dcterms:modified>
</cp:coreProperties>
</file>