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AB634A" w:rsidRPr="009C0C7D" w:rsidTr="0042761C">
        <w:trPr>
          <w:trHeight w:val="614"/>
        </w:trPr>
        <w:tc>
          <w:tcPr>
            <w:tcW w:w="4050" w:type="dxa"/>
          </w:tcPr>
          <w:p w:rsidR="00AB634A" w:rsidRPr="009C0C7D" w:rsidRDefault="00AB634A" w:rsidP="0042761C">
            <w:pPr>
              <w:rPr>
                <w:rFonts w:cs="Verdana"/>
                <w:color w:val="auto"/>
                <w:spacing w:val="0"/>
                <w:szCs w:val="20"/>
              </w:rPr>
            </w:pPr>
          </w:p>
        </w:tc>
        <w:tc>
          <w:tcPr>
            <w:tcW w:w="4051" w:type="dxa"/>
          </w:tcPr>
          <w:p w:rsidR="00AB634A" w:rsidRPr="009C0C7D" w:rsidRDefault="00AB634A" w:rsidP="0042761C">
            <w:pPr>
              <w:jc w:val="right"/>
              <w:rPr>
                <w:rFonts w:cs="Verdana"/>
                <w:color w:val="auto"/>
                <w:spacing w:val="0"/>
                <w:szCs w:val="20"/>
              </w:rPr>
            </w:pPr>
            <w:r>
              <w:rPr>
                <w:rFonts w:cs="Verdana"/>
                <w:color w:val="auto"/>
                <w:spacing w:val="0"/>
                <w:szCs w:val="20"/>
              </w:rPr>
              <w:t>Kraków, dn. 03.02.2022  r.</w:t>
            </w:r>
          </w:p>
        </w:tc>
      </w:tr>
    </w:tbl>
    <w:p w:rsidR="00AB634A" w:rsidRDefault="00AB634A" w:rsidP="00FB7773">
      <w:pPr>
        <w:pStyle w:val="Default"/>
        <w:rPr>
          <w:rFonts w:ascii="Times New Roman" w:hAnsi="Times New Roman" w:cs="Times New Roman"/>
          <w:color w:val="auto"/>
          <w:sz w:val="22"/>
          <w:szCs w:val="22"/>
          <w:lang w:eastAsia="en-US"/>
        </w:rPr>
      </w:pPr>
    </w:p>
    <w:p w:rsidR="00AB634A" w:rsidRPr="00CF31A2" w:rsidRDefault="00AB634A" w:rsidP="0010143C">
      <w:pPr>
        <w:pStyle w:val="Heading3"/>
      </w:pPr>
      <w:r w:rsidRPr="00C25B63">
        <w:rPr>
          <w:rFonts w:ascii="Verdana" w:hAnsi="Verdana"/>
        </w:rPr>
        <w:t xml:space="preserve">Dotyczy: </w:t>
      </w:r>
      <w:r>
        <w:t xml:space="preserve">ZP/10/21 </w:t>
      </w:r>
      <w:r w:rsidRPr="00CF31A2">
        <w:t>Zakup urządzenia do druku 3D z materiałów ceramicznych, metalicznych, polimerowych oraz kompozytów</w:t>
      </w:r>
    </w:p>
    <w:p w:rsidR="00AB634A" w:rsidRPr="002F5842" w:rsidRDefault="00AB634A" w:rsidP="00FB7773">
      <w:pPr>
        <w:pStyle w:val="Default"/>
        <w:jc w:val="both"/>
        <w:rPr>
          <w:rFonts w:ascii="Verdana" w:hAnsi="Verdana"/>
          <w:szCs w:val="22"/>
        </w:rPr>
      </w:pPr>
    </w:p>
    <w:p w:rsidR="00AB634A" w:rsidRPr="00C25B63" w:rsidRDefault="00AB634A" w:rsidP="000D4B95">
      <w:pPr>
        <w:rPr>
          <w:sz w:val="24"/>
          <w:szCs w:val="24"/>
        </w:rPr>
      </w:pPr>
      <w:r w:rsidRPr="00C25B63">
        <w:rPr>
          <w:sz w:val="24"/>
          <w:szCs w:val="24"/>
        </w:rPr>
        <w:t>Szanowni Wykonawcy,</w:t>
      </w:r>
    </w:p>
    <w:p w:rsidR="00AB634A" w:rsidRDefault="00AB634A"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02.03.2022</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02.03.2022 r. o godzinie 9.15</w:t>
      </w:r>
      <w:r w:rsidRPr="00C25B63">
        <w:rPr>
          <w:color w:val="auto"/>
          <w:sz w:val="24"/>
          <w:szCs w:val="24"/>
        </w:rPr>
        <w:t>.</w:t>
      </w:r>
    </w:p>
    <w:p w:rsidR="00AB634A" w:rsidRDefault="00AB634A" w:rsidP="000D4B95">
      <w:pPr>
        <w:ind w:left="360"/>
        <w:rPr>
          <w:color w:val="auto"/>
          <w:sz w:val="24"/>
          <w:szCs w:val="24"/>
        </w:rPr>
      </w:pPr>
      <w:r>
        <w:rPr>
          <w:color w:val="auto"/>
          <w:sz w:val="24"/>
          <w:szCs w:val="24"/>
        </w:rPr>
        <w:t>W związku z powyższym zmianie ulegają niżej podane punkty SWZ, które przyjmują treść:</w:t>
      </w:r>
    </w:p>
    <w:p w:rsidR="00AB634A" w:rsidRPr="002334C9" w:rsidRDefault="00AB634A"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AB634A" w:rsidRDefault="00AB634A" w:rsidP="002334C9">
      <w:pPr>
        <w:autoSpaceDE w:val="0"/>
        <w:autoSpaceDN w:val="0"/>
        <w:adjustRightInd w:val="0"/>
        <w:spacing w:after="0" w:line="240" w:lineRule="auto"/>
      </w:pPr>
      <w:r w:rsidRPr="002334C9">
        <w:t>Wykonawca jest związany ofertą do dn</w:t>
      </w:r>
      <w:r>
        <w:t xml:space="preserve">ia </w:t>
      </w:r>
      <w:r>
        <w:rPr>
          <w:b/>
        </w:rPr>
        <w:t>30</w:t>
      </w:r>
      <w:r w:rsidRPr="00024D9E">
        <w:rPr>
          <w:b/>
        </w:rPr>
        <w:t>.</w:t>
      </w:r>
      <w:r>
        <w:rPr>
          <w:b/>
        </w:rPr>
        <w:t>05.2022</w:t>
      </w:r>
      <w:r w:rsidRPr="002334C9">
        <w:rPr>
          <w:b/>
        </w:rPr>
        <w:t xml:space="preserve"> r.</w:t>
      </w:r>
    </w:p>
    <w:p w:rsidR="00AB634A" w:rsidRPr="002334C9" w:rsidRDefault="00AB634A" w:rsidP="002334C9">
      <w:pPr>
        <w:autoSpaceDE w:val="0"/>
        <w:autoSpaceDN w:val="0"/>
        <w:adjustRightInd w:val="0"/>
        <w:spacing w:after="0" w:line="240" w:lineRule="auto"/>
        <w:rPr>
          <w:rFonts w:cs="Calibri"/>
          <w:b/>
          <w:szCs w:val="20"/>
          <w:lang w:val="de-DE" w:eastAsia="pl-PL"/>
        </w:rPr>
      </w:pPr>
    </w:p>
    <w:p w:rsidR="00AB634A" w:rsidRPr="002334C9" w:rsidRDefault="00AB634A"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AB634A" w:rsidRPr="002334C9" w:rsidRDefault="00AB634A"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02.03.2022</w:t>
      </w:r>
      <w:r w:rsidRPr="002334C9">
        <w:rPr>
          <w:rFonts w:cs="Calibri"/>
          <w:b/>
          <w:bCs/>
          <w:szCs w:val="20"/>
          <w:lang w:eastAsia="pl-PL"/>
        </w:rPr>
        <w:t xml:space="preserve"> r. do godz. 09:00 </w:t>
      </w:r>
      <w:r w:rsidRPr="002334C9">
        <w:rPr>
          <w:rFonts w:cs="Calibri"/>
          <w:szCs w:val="20"/>
          <w:lang w:eastAsia="pl-PL"/>
        </w:rPr>
        <w:t xml:space="preserve">w formie </w:t>
      </w:r>
      <w:r>
        <w:rPr>
          <w:rFonts w:cs="Calibri"/>
          <w:szCs w:val="20"/>
          <w:lang w:eastAsia="pl-PL"/>
        </w:rPr>
        <w:t>elektronicznej.</w:t>
      </w:r>
    </w:p>
    <w:p w:rsidR="00AB634A" w:rsidRPr="002334C9" w:rsidRDefault="00AB634A" w:rsidP="00694332">
      <w:pPr>
        <w:autoSpaceDE w:val="0"/>
        <w:autoSpaceDN w:val="0"/>
        <w:adjustRightInd w:val="0"/>
        <w:spacing w:after="0" w:line="240" w:lineRule="auto"/>
        <w:ind w:left="284" w:hanging="284"/>
        <w:rPr>
          <w:rFonts w:cs="Calibri"/>
          <w:szCs w:val="20"/>
          <w:lang w:eastAsia="pl-PL"/>
        </w:rPr>
      </w:pPr>
    </w:p>
    <w:p w:rsidR="00AB634A" w:rsidRPr="002334C9" w:rsidRDefault="00AB634A"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AB634A" w:rsidRPr="002334C9" w:rsidRDefault="00AB634A"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02.03</w:t>
      </w:r>
      <w:r w:rsidRPr="002334C9">
        <w:rPr>
          <w:rFonts w:cs="Calibri"/>
          <w:b/>
          <w:bCs/>
          <w:szCs w:val="20"/>
          <w:lang w:eastAsia="pl-PL"/>
        </w:rPr>
        <w:t>.202</w:t>
      </w:r>
      <w:r>
        <w:rPr>
          <w:rFonts w:cs="Calibri"/>
          <w:b/>
          <w:bCs/>
          <w:szCs w:val="20"/>
          <w:lang w:eastAsia="pl-PL"/>
        </w:rPr>
        <w:t>2</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5</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AB634A" w:rsidRDefault="00AB634A" w:rsidP="000D4B95">
      <w:pPr>
        <w:ind w:left="360"/>
        <w:rPr>
          <w:color w:val="auto"/>
          <w:sz w:val="24"/>
          <w:szCs w:val="24"/>
        </w:rPr>
      </w:pPr>
    </w:p>
    <w:p w:rsidR="00AB634A" w:rsidRDefault="00AB634A" w:rsidP="000D4B95">
      <w:pPr>
        <w:ind w:left="360"/>
        <w:rPr>
          <w:color w:val="auto"/>
          <w:sz w:val="24"/>
          <w:szCs w:val="24"/>
        </w:rPr>
      </w:pPr>
      <w:r>
        <w:rPr>
          <w:color w:val="auto"/>
          <w:sz w:val="24"/>
          <w:szCs w:val="24"/>
        </w:rPr>
        <w:t>Zamawiający informuje, że w postępowaniu wpłynęły pytania, na które udziela następujących odpowiedzi:</w:t>
      </w:r>
    </w:p>
    <w:p w:rsidR="00AB634A" w:rsidRDefault="00AB634A" w:rsidP="000D4B95">
      <w:pPr>
        <w:ind w:left="360"/>
        <w:rPr>
          <w:color w:val="auto"/>
          <w:sz w:val="24"/>
          <w:szCs w:val="24"/>
        </w:rPr>
      </w:pPr>
      <w:r>
        <w:rPr>
          <w:color w:val="auto"/>
          <w:sz w:val="24"/>
          <w:szCs w:val="24"/>
        </w:rPr>
        <w:t>Zestaw I</w:t>
      </w:r>
    </w:p>
    <w:p w:rsidR="00AB634A" w:rsidRDefault="00AB634A" w:rsidP="007E4718">
      <w:pPr>
        <w:ind w:left="360"/>
      </w:pPr>
      <w:r>
        <w:t>Bardzo proszę o wprowadzenie następujących zmian w dokumencie SWZ ZP10.21 zgodnie z załączonym plikiem:</w:t>
      </w:r>
    </w:p>
    <w:p w:rsidR="00AB634A" w:rsidRPr="00BD069D" w:rsidRDefault="00AB634A" w:rsidP="007E4718">
      <w:pPr>
        <w:ind w:left="360"/>
        <w:rPr>
          <w:b/>
          <w:color w:val="auto"/>
          <w:sz w:val="22"/>
        </w:rPr>
      </w:pPr>
      <w:r w:rsidRPr="00BD069D">
        <w:rPr>
          <w:b/>
          <w:sz w:val="22"/>
        </w:rPr>
        <w:t>1. Treść pytania:</w:t>
      </w:r>
    </w:p>
    <w:p w:rsidR="00AB634A" w:rsidRDefault="00AB634A" w:rsidP="007E4718">
      <w:r>
        <w:t xml:space="preserve">6. Termin wykonania zamówienia – zmiana z 5 na 7 miesięcy. </w:t>
      </w:r>
    </w:p>
    <w:p w:rsidR="00AB634A" w:rsidRDefault="00AB634A" w:rsidP="007E4718">
      <w:r w:rsidRPr="00132514">
        <w:rPr>
          <w:b/>
          <w:bCs/>
        </w:rPr>
        <w:t>Kome</w:t>
      </w:r>
      <w:r>
        <w:rPr>
          <w:b/>
          <w:bCs/>
        </w:rPr>
        <w:t>n</w:t>
      </w:r>
      <w:r w:rsidRPr="00132514">
        <w:rPr>
          <w:b/>
          <w:bCs/>
        </w:rPr>
        <w:t>tarz:</w:t>
      </w:r>
      <w:r>
        <w:t xml:space="preserve"> Jest to związane z wydłużonymi czasami dostaw kluczowych podzespołów oferowanej drukarki</w:t>
      </w:r>
    </w:p>
    <w:p w:rsidR="00AB634A" w:rsidRPr="00593480" w:rsidRDefault="00AB634A" w:rsidP="00593480">
      <w:pPr>
        <w:keepNext/>
        <w:outlineLvl w:val="0"/>
        <w:rPr>
          <w:rFonts w:cs="Tahoma"/>
          <w:szCs w:val="20"/>
        </w:rPr>
      </w:pPr>
      <w:r w:rsidRPr="00BD069D">
        <w:rPr>
          <w:b/>
          <w:sz w:val="22"/>
        </w:rPr>
        <w:t>Odpowiedź</w:t>
      </w:r>
      <w:r>
        <w:rPr>
          <w:b/>
          <w:sz w:val="22"/>
        </w:rPr>
        <w:t xml:space="preserve"> Zamawiającego</w:t>
      </w:r>
      <w:r w:rsidRPr="00BD069D">
        <w:rPr>
          <w:b/>
          <w:sz w:val="22"/>
        </w:rPr>
        <w:t>:</w:t>
      </w:r>
      <w:r>
        <w:rPr>
          <w:b/>
          <w:sz w:val="22"/>
        </w:rPr>
        <w:t xml:space="preserve"> </w:t>
      </w:r>
      <w:r w:rsidRPr="00593480">
        <w:rPr>
          <w:szCs w:val="20"/>
        </w:rPr>
        <w:t xml:space="preserve">Tak, Zamawiający dokonuje zmiany SWZ. </w:t>
      </w:r>
      <w:bookmarkStart w:id="1" w:name="_Toc98122550"/>
      <w:bookmarkStart w:id="2" w:name="_Toc461624345"/>
      <w:r w:rsidRPr="00593480">
        <w:rPr>
          <w:szCs w:val="20"/>
        </w:rPr>
        <w:t xml:space="preserve">Punkt </w:t>
      </w:r>
      <w:r w:rsidRPr="00593480">
        <w:rPr>
          <w:rFonts w:cs="Tahoma"/>
          <w:szCs w:val="20"/>
        </w:rPr>
        <w:t>6. Termin wykonania zamówienia</w:t>
      </w:r>
      <w:bookmarkEnd w:id="1"/>
      <w:bookmarkEnd w:id="2"/>
      <w:r w:rsidRPr="00593480">
        <w:rPr>
          <w:rFonts w:cs="Tahoma"/>
          <w:szCs w:val="20"/>
        </w:rPr>
        <w:t xml:space="preserve"> przyjmuje brzmienie:</w:t>
      </w:r>
    </w:p>
    <w:p w:rsidR="00AB634A" w:rsidRPr="00593480" w:rsidRDefault="00AB634A" w:rsidP="00593480">
      <w:pPr>
        <w:autoSpaceDE w:val="0"/>
        <w:autoSpaceDN w:val="0"/>
        <w:adjustRightInd w:val="0"/>
        <w:rPr>
          <w:rFonts w:cs="Tahoma"/>
          <w:szCs w:val="20"/>
        </w:rPr>
      </w:pPr>
      <w:r w:rsidRPr="00593480">
        <w:rPr>
          <w:rFonts w:cs="Tahoma"/>
          <w:szCs w:val="20"/>
        </w:rPr>
        <w:t>Termin realizacji zamówienia – do 7 miesięcy od daty podpisania umowy.</w:t>
      </w:r>
    </w:p>
    <w:p w:rsidR="00AB634A" w:rsidRPr="00BD069D" w:rsidRDefault="00AB634A" w:rsidP="007E4718">
      <w:pPr>
        <w:rPr>
          <w:b/>
          <w:sz w:val="22"/>
        </w:rPr>
      </w:pPr>
      <w:r w:rsidRPr="00BD069D">
        <w:rPr>
          <w:b/>
          <w:sz w:val="22"/>
        </w:rPr>
        <w:t>2. Treść pytania:</w:t>
      </w:r>
    </w:p>
    <w:p w:rsidR="00AB634A" w:rsidRDefault="00AB634A" w:rsidP="007E4718">
      <w:r>
        <w:t xml:space="preserve">20. Dodanie możliwości złożenia oferty oraz płatności w EURO. Działając w imieniu oferenta z kraju UE chciałbym na równych prawach przedstawić ofertę. </w:t>
      </w:r>
    </w:p>
    <w:p w:rsidR="00AB634A" w:rsidRPr="00A03363" w:rsidRDefault="00AB634A" w:rsidP="00A03363">
      <w:pPr>
        <w:pStyle w:val="NormalWeb"/>
        <w:jc w:val="both"/>
        <w:rPr>
          <w:rFonts w:ascii="Verdana" w:hAnsi="Verdana"/>
          <w:sz w:val="20"/>
          <w:szCs w:val="20"/>
        </w:rPr>
      </w:pPr>
      <w:r w:rsidRPr="00087367">
        <w:rPr>
          <w:b/>
        </w:rPr>
        <w:t>Odpowiedź</w:t>
      </w:r>
      <w:r>
        <w:rPr>
          <w:b/>
        </w:rPr>
        <w:t xml:space="preserve"> Zamawiającego</w:t>
      </w:r>
      <w:r w:rsidRPr="00087367">
        <w:rPr>
          <w:b/>
        </w:rPr>
        <w:t xml:space="preserve">: </w:t>
      </w:r>
      <w:r w:rsidRPr="00087367">
        <w:t>Tak, zamawiający wyraża zgodę na złożenie oferty w Euro oraz dokonanie płatności w tej walucie. Celem porównania ofert złożonych w Euro oraz PLN Zamawiający dodatkowo wprowadza do pkt. 20 SWZ następujący zapis: Zamawiający jako kurs przeliczeniowy dla ceny złożonej w Euro przyjmie średni kurs Euro publikowany przez Narodowy Bank Polski w dniu otwarcia ofert. Jeżeli w dniu otwarcia ofert Narodowy Bank Polski nie publikuje średniego kursu danej waluty, za podstawę przeliczenia przyjmuje się średni kurs waluty publikowany pierwszego dnia przed dnie</w:t>
      </w:r>
      <w:r>
        <w:t>m otwarcia ofert, w którym został</w:t>
      </w:r>
      <w:r w:rsidRPr="00087367">
        <w:t xml:space="preserve"> on opublikowany.</w:t>
      </w:r>
    </w:p>
    <w:p w:rsidR="00AB634A" w:rsidRPr="00BD069D" w:rsidRDefault="00AB634A" w:rsidP="007E4718">
      <w:pPr>
        <w:rPr>
          <w:b/>
          <w:sz w:val="22"/>
        </w:rPr>
      </w:pPr>
      <w:r w:rsidRPr="00BD069D">
        <w:rPr>
          <w:b/>
          <w:sz w:val="22"/>
        </w:rPr>
        <w:t>3. Treść pytania:</w:t>
      </w:r>
    </w:p>
    <w:p w:rsidR="00AB634A" w:rsidRDefault="00AB634A" w:rsidP="007E4718">
      <w:r>
        <w:t>Dodanie następujących załączników:</w:t>
      </w:r>
    </w:p>
    <w:p w:rsidR="00AB634A" w:rsidRPr="007E4718" w:rsidRDefault="00AB634A" w:rsidP="007E4718">
      <w:r w:rsidRPr="007E4718">
        <w:t>Protokół FAT (Factory acceptance test) oraz SAT (site acceptance test) – przygotowane przez dostawcę</w:t>
      </w:r>
    </w:p>
    <w:p w:rsidR="00AB634A" w:rsidRDefault="00AB634A" w:rsidP="007E4718">
      <w:r w:rsidRPr="00007BB0">
        <w:t>Wzór gwarancji bankowej pierwszej p</w:t>
      </w:r>
      <w:r>
        <w:t>łatności</w:t>
      </w:r>
    </w:p>
    <w:p w:rsidR="00AB634A" w:rsidRDefault="00AB634A" w:rsidP="007E4718">
      <w:r>
        <w:t>Wzór kryt</w:t>
      </w:r>
      <w:r w:rsidRPr="00007BB0">
        <w:t>eriów reakcji w okresie gwarancyjnym (związanych z  kar</w:t>
      </w:r>
      <w:r>
        <w:t>ami umownymi</w:t>
      </w:r>
      <w:r w:rsidRPr="00007BB0">
        <w:t>)</w:t>
      </w:r>
    </w:p>
    <w:p w:rsidR="00AB634A" w:rsidRPr="00CB4398" w:rsidRDefault="00AB634A" w:rsidP="007E4718">
      <w:pPr>
        <w:rPr>
          <w:sz w:val="22"/>
        </w:rPr>
      </w:pPr>
      <w:r w:rsidRPr="00BD069D">
        <w:rPr>
          <w:b/>
          <w:sz w:val="22"/>
        </w:rPr>
        <w:t>Odpowiedź</w:t>
      </w:r>
      <w:r>
        <w:rPr>
          <w:b/>
          <w:sz w:val="22"/>
        </w:rPr>
        <w:t xml:space="preserve"> Zamawiającego</w:t>
      </w:r>
      <w:r w:rsidRPr="00BD069D">
        <w:rPr>
          <w:b/>
          <w:sz w:val="22"/>
        </w:rPr>
        <w:t>:</w:t>
      </w:r>
      <w:r>
        <w:rPr>
          <w:b/>
          <w:sz w:val="22"/>
        </w:rPr>
        <w:t xml:space="preserve"> </w:t>
      </w:r>
      <w:r w:rsidRPr="002D728C">
        <w:rPr>
          <w:sz w:val="22"/>
        </w:rPr>
        <w:t>Zamawiający podaje sposób reakcji na zgłoszenie gwarancyjne w zmodyfikowanym załączniku Nr 3 – w załączeniu do niniejszego pisma.</w:t>
      </w:r>
      <w:r>
        <w:rPr>
          <w:b/>
          <w:sz w:val="22"/>
        </w:rPr>
        <w:t xml:space="preserve"> </w:t>
      </w:r>
      <w:r w:rsidRPr="002D728C">
        <w:rPr>
          <w:sz w:val="22"/>
        </w:rPr>
        <w:t>W pozostałym zakresie</w:t>
      </w:r>
      <w:r>
        <w:rPr>
          <w:b/>
          <w:sz w:val="22"/>
        </w:rPr>
        <w:t xml:space="preserve"> </w:t>
      </w:r>
      <w:r w:rsidRPr="00CB4398">
        <w:rPr>
          <w:sz w:val="22"/>
        </w:rPr>
        <w:t xml:space="preserve">Zamawiający </w:t>
      </w:r>
      <w:r>
        <w:rPr>
          <w:sz w:val="22"/>
        </w:rPr>
        <w:t>podtrzymuje zapisy</w:t>
      </w:r>
      <w:r w:rsidRPr="00CB4398">
        <w:rPr>
          <w:sz w:val="22"/>
        </w:rPr>
        <w:t xml:space="preserve"> SWZ.</w:t>
      </w:r>
    </w:p>
    <w:p w:rsidR="00AB634A" w:rsidRPr="00BD069D" w:rsidRDefault="00AB634A" w:rsidP="007E4718">
      <w:pPr>
        <w:rPr>
          <w:b/>
          <w:bCs/>
          <w:sz w:val="22"/>
        </w:rPr>
      </w:pPr>
      <w:r w:rsidRPr="00BD069D">
        <w:rPr>
          <w:b/>
          <w:bCs/>
          <w:sz w:val="22"/>
        </w:rPr>
        <w:t>4. Treść pytania</w:t>
      </w:r>
      <w:r>
        <w:rPr>
          <w:b/>
          <w:bCs/>
          <w:sz w:val="22"/>
        </w:rPr>
        <w:t>:</w:t>
      </w:r>
    </w:p>
    <w:p w:rsidR="00AB634A" w:rsidRPr="00BD069D" w:rsidRDefault="00AB634A" w:rsidP="007E4718">
      <w:pPr>
        <w:rPr>
          <w:b/>
          <w:bCs/>
        </w:rPr>
      </w:pPr>
      <w:r>
        <w:rPr>
          <w:b/>
          <w:bCs/>
        </w:rPr>
        <w:t>Załącznik nr 2 do SWZ – Wzór umowy:</w:t>
      </w:r>
    </w:p>
    <w:p w:rsidR="00AB634A" w:rsidRDefault="00AB634A" w:rsidP="007E4718">
      <w:r>
        <w:t>§ 2 Cena i termin warunki wykonania umowy</w:t>
      </w:r>
    </w:p>
    <w:p w:rsidR="00AB634A" w:rsidRDefault="00AB634A" w:rsidP="007E4718">
      <w:r>
        <w:t>3) Ryzyko przechodzi na Zleceniodawcę zgodnie z ustalonymi Incoterms (2020) DAP Kraków wraz z ubezpieczeniem transportu. Przekazanie własności następuje na konto Zleceniobiorcy do jego dowolnej dyspozycji po wpłynięciu całkowitej kwoty zlecenia. Kupujący jest odpowiedzialny za rozładunek, zorganizowanie odpowiedniego sprzętu rozładunkowego (np. wózek widłowy) i wniesienie sprzedanego materiału do miejsca instalacji urządzenia. Wykonawca może w tym zakresie pomagać swoją wiedzą, nie ponosząc przy tym żadnych zobowiązań. Sprzęt będący przedmiotem umowy będzie ubezpieczony przez Zamawiającego od momentu przyjazdu firmy transportowej uwzględniając rozładunek.</w:t>
      </w:r>
    </w:p>
    <w:p w:rsidR="00AB634A" w:rsidRDefault="00AB634A" w:rsidP="007E4718">
      <w:r w:rsidRPr="002E207B">
        <w:rPr>
          <w:b/>
          <w:bCs/>
        </w:rPr>
        <w:t>Komentarz:</w:t>
      </w:r>
      <w:r>
        <w:t xml:space="preserve"> Przedmiotem postępowania przetargowego jest odstawa urządzeń wraz z instalacją urządzenia wg. kryteriów od dostawcy, a nie budowa instalacji pod klucz. Zaproponowana przez Państwa treść nie określa w jakim miejscu ma być zainstalowane urządzenia, na jakie trudności mogą spotkać dostawcę (np. brak windy, podłoga z progami, zbyt wąskie lub zbyt niskie drzwi itp.) przez co składana oferta nie uwzględnia sporej rozbieżności kosztów dodatkowy jakich jak wynajem dźwigu lub wózka widłowego, prace rozbiórkowe (np. z usunięciem drzwi, okien), prace remontowe.</w:t>
      </w:r>
    </w:p>
    <w:p w:rsidR="00AB634A" w:rsidRDefault="00AB634A" w:rsidP="007E4718">
      <w:r>
        <w:t>§ 3 Odbiór i warunki płatności.</w:t>
      </w:r>
    </w:p>
    <w:p w:rsidR="00AB634A" w:rsidRDefault="00AB634A" w:rsidP="007E4718">
      <w:r>
        <w:t>2) Zasady płatności są następujące:</w:t>
      </w:r>
    </w:p>
    <w:p w:rsidR="00AB634A" w:rsidRDefault="00AB634A" w:rsidP="007E4718">
      <w:r>
        <w:t>40% wartości zamówienia płatne jest niezwłocznie po złożeniu zamówienia po przedstawieniu faktury i gwarancji zaliczki wystawionej przez bank wykonawcy (wzór jako załącznik umowy)</w:t>
      </w:r>
    </w:p>
    <w:p w:rsidR="00AB634A" w:rsidRDefault="00AB634A" w:rsidP="007E4718">
      <w:r>
        <w:t>60% wartości zamówienia płatne jest po przedstawieniu podpisanego protokołu odbioru SAT (wzór jako załącznik umowy) i faktury, 30 dni netto.</w:t>
      </w:r>
    </w:p>
    <w:p w:rsidR="00AB634A" w:rsidRDefault="00AB634A" w:rsidP="007E4718">
      <w:r w:rsidRPr="002E207B">
        <w:rPr>
          <w:b/>
          <w:bCs/>
        </w:rPr>
        <w:t>Komentarz</w:t>
      </w:r>
      <w:r w:rsidRPr="006A1703">
        <w:rPr>
          <w:u w:val="single"/>
        </w:rPr>
        <w:t>:</w:t>
      </w:r>
      <w:r>
        <w:t xml:space="preserve"> Z uwagi na bardzo wysoką wartość urządzenia oraz szereg łańcuchów dostaw zobowiązani jesteśmy do częściowej płatności zaliczkowej.</w:t>
      </w:r>
    </w:p>
    <w:p w:rsidR="00AB634A" w:rsidRDefault="00AB634A" w:rsidP="007E4718">
      <w:r>
        <w:t>§ 4 Odpowiedzialność odszkodowawcza.</w:t>
      </w:r>
    </w:p>
    <w:p w:rsidR="00AB634A" w:rsidRDefault="00AB634A" w:rsidP="007E4718">
      <w:r>
        <w:t>1) W przypadku opóźnienia w dostawie przedmiotu umowy, zamawiający z wyłączeniem dalszych roszczeń naliczy karę umowną w wysokości 0,2 % opóźnionej części za każdy dzień opóźnienia, licząc od piątego dnia po upływie terminu określonego w § 2 ust. 2 zd. 1, jednak nie więcej niż 5 % wartości zamówienia opóźnionej części.</w:t>
      </w:r>
    </w:p>
    <w:p w:rsidR="00AB634A" w:rsidRDefault="00AB634A" w:rsidP="007E4718">
      <w:r>
        <w:t>2. w przypadku opóźnienia w wykonaniu przedmiotu umowy, klient może również odstąpić od umowy na zasadach ogólnych kodeksu cywilnego i żądać kary umownej w wysokości 5 % kwoty określonej w § 2 ust. 1 po uprzednim pisemnym wyznaczeniu 14 dniowego terminu dodatkowego na wykonanie umowy, przy czym roszczenie o karę umowną naliczoną zgodnie z ust. 1 pozostaje w mocy do czasu odstąpienia od umowy, o ile łączna wysokość kary umownej nie przekroczy 5 %.</w:t>
      </w:r>
    </w:p>
    <w:p w:rsidR="00AB634A" w:rsidRDefault="00AB634A" w:rsidP="007E4718">
      <w:r>
        <w:t>3. w przypadku niewykonania zobowiązań z tytułu rękojmi lub gwarancji, pod warunkiem spełnienia wymogu gwarancyjnego zgodnie ze specyfikacją Sprzedawcy w zakresie wyłącznego stosowania dopuszczonych spoiw, Kupujący może żądać kary umownej w wysokości 0,1% kwoty określonej w § 2 ust. 1 z tytułu niedotrzymania czasu reakcji (załącznik do umowy) za każdy dzień opóźnienia, licząc od następnego dnia po terminie, zgodnie z załącznikiem, jednak nie więcej niż 5% wartości zamówienia opóźnionej części, z wyłączeniem dalszych roszczeń.</w:t>
      </w:r>
    </w:p>
    <w:p w:rsidR="00AB634A" w:rsidRDefault="00AB634A" w:rsidP="007E4718">
      <w:r>
        <w:t>4. Maksymalna wysokość kar umownych, które mogą być dochodzone na podstawie niniejszej umowy wynosi 5 % wartości określonej w § 2 ust. 1, z wyłączeniem dalszych roszczeń.</w:t>
      </w:r>
    </w:p>
    <w:p w:rsidR="00AB634A" w:rsidRDefault="00AB634A" w:rsidP="007E4718">
      <w:r>
        <w:t>5. Sprzedający nie ponosi odpowiedzialności za szkody pośrednie, szkody następcze lub straty, jak np. utrata dochodu, utrata możliwości korzystania, przestoje w produkcji, koszty kapitałowe lub koszty, które są związane z przerwami w świadczeniu usług. Powyższe ograniczenie odpowiedzialności nie obowiązuje w przypadku umyślnego lub rażąco niedbałego naruszenia obowiązków.</w:t>
      </w:r>
    </w:p>
    <w:p w:rsidR="00AB634A" w:rsidRPr="00CB4398" w:rsidRDefault="00AB634A" w:rsidP="007E4718">
      <w:pPr>
        <w:rPr>
          <w:sz w:val="22"/>
        </w:rPr>
      </w:pPr>
      <w:r>
        <w:rPr>
          <w:b/>
          <w:sz w:val="22"/>
        </w:rPr>
        <w:t>Odpowiedź Zamawiającego</w:t>
      </w:r>
      <w:r w:rsidRPr="00BD069D">
        <w:rPr>
          <w:b/>
          <w:sz w:val="22"/>
        </w:rPr>
        <w:t>:</w:t>
      </w:r>
      <w:r>
        <w:rPr>
          <w:b/>
          <w:sz w:val="22"/>
        </w:rPr>
        <w:t xml:space="preserve"> </w:t>
      </w:r>
      <w:r w:rsidRPr="00CB4398">
        <w:rPr>
          <w:sz w:val="22"/>
        </w:rPr>
        <w:t xml:space="preserve">Zamawiający </w:t>
      </w:r>
      <w:r>
        <w:rPr>
          <w:sz w:val="22"/>
        </w:rPr>
        <w:t>podtrzymuje zapisy</w:t>
      </w:r>
      <w:r w:rsidRPr="00CB4398">
        <w:rPr>
          <w:sz w:val="22"/>
        </w:rPr>
        <w:t xml:space="preserve"> SWZ.</w:t>
      </w:r>
    </w:p>
    <w:p w:rsidR="00AB634A" w:rsidRPr="00BD069D" w:rsidRDefault="00AB634A" w:rsidP="007E4718">
      <w:pPr>
        <w:rPr>
          <w:b/>
          <w:sz w:val="22"/>
        </w:rPr>
      </w:pPr>
      <w:r w:rsidRPr="00BD069D">
        <w:rPr>
          <w:b/>
          <w:sz w:val="22"/>
        </w:rPr>
        <w:t>5. Treść pytania:</w:t>
      </w:r>
    </w:p>
    <w:p w:rsidR="00AB634A" w:rsidRPr="00BD069D" w:rsidRDefault="00AB634A" w:rsidP="007E4718">
      <w:pPr>
        <w:rPr>
          <w:b/>
          <w:bCs/>
        </w:rPr>
      </w:pPr>
      <w:r>
        <w:t>Z</w:t>
      </w:r>
      <w:r>
        <w:rPr>
          <w:b/>
          <w:bCs/>
        </w:rPr>
        <w:t>ałącznik nr 4 do SWZ – Formularz cenowy</w:t>
      </w:r>
    </w:p>
    <w:p w:rsidR="00AB634A" w:rsidRDefault="00AB634A" w:rsidP="007E4718">
      <w:pPr>
        <w:rPr>
          <w:u w:val="single"/>
        </w:rPr>
      </w:pPr>
      <w:r>
        <w:t xml:space="preserve">Zmiana deklaracji nr 2 tj. (Deklaruję otwarty dostęp do oprogramowania sterującego urządzenia z poziomu serwisanta (po upływie okresu gwarancji)) na </w:t>
      </w:r>
      <w:r>
        <w:rPr>
          <w:u w:val="single"/>
        </w:rPr>
        <w:t>Deklaruję dostęp do ustawień serwisowych po upływie okresu gwarancji.</w:t>
      </w:r>
    </w:p>
    <w:p w:rsidR="00AB634A" w:rsidRDefault="00AB634A" w:rsidP="007E4718">
      <w:r w:rsidRPr="002E207B">
        <w:rPr>
          <w:b/>
          <w:bCs/>
        </w:rPr>
        <w:t>Komentarz:</w:t>
      </w:r>
      <w:r>
        <w:t xml:space="preserve"> Otwarty dostęp do oprogramowania sterującego jest bardzo szerokim hasłem i pozwala na nieograniczony dostęp czyli również kopiowanie oraz modyfikację kluczowych kodów źródłowych urządzenia, które są własnością intelektualną firmy i nie są przedmiotem niniejszego przetargu.</w:t>
      </w:r>
    </w:p>
    <w:p w:rsidR="00AB634A" w:rsidRDefault="00AB634A" w:rsidP="007E4718">
      <w:pPr>
        <w:rPr>
          <w:sz w:val="22"/>
        </w:rPr>
      </w:pPr>
      <w:r w:rsidRPr="00BD069D">
        <w:rPr>
          <w:b/>
          <w:sz w:val="22"/>
        </w:rPr>
        <w:t>Odpowiedź</w:t>
      </w:r>
      <w:r>
        <w:rPr>
          <w:b/>
          <w:sz w:val="22"/>
        </w:rPr>
        <w:t xml:space="preserve"> Zamawiającego</w:t>
      </w:r>
      <w:r w:rsidRPr="00BD069D">
        <w:rPr>
          <w:b/>
          <w:sz w:val="22"/>
        </w:rPr>
        <w:t>:</w:t>
      </w:r>
      <w:r>
        <w:rPr>
          <w:b/>
          <w:sz w:val="22"/>
        </w:rPr>
        <w:t xml:space="preserve"> </w:t>
      </w:r>
      <w:r>
        <w:rPr>
          <w:sz w:val="22"/>
        </w:rPr>
        <w:t>Z</w:t>
      </w:r>
      <w:r w:rsidRPr="00D86C98">
        <w:rPr>
          <w:sz w:val="22"/>
        </w:rPr>
        <w:t>amawiający dokonuje modyfikacji w tym zakresie</w:t>
      </w:r>
      <w:r>
        <w:rPr>
          <w:sz w:val="22"/>
        </w:rPr>
        <w:t xml:space="preserve"> SWZ. Treść modyfikacji:</w:t>
      </w:r>
    </w:p>
    <w:p w:rsidR="00AB634A" w:rsidRDefault="00AB634A" w:rsidP="007E4718">
      <w:pPr>
        <w:rPr>
          <w:sz w:val="22"/>
        </w:rPr>
      </w:pPr>
      <w:r>
        <w:rPr>
          <w:sz w:val="22"/>
        </w:rPr>
        <w:t>Punkt  21 SWZ przyjmuje brzmienie:</w:t>
      </w:r>
    </w:p>
    <w:p w:rsidR="00AB634A" w:rsidRPr="00DE4214" w:rsidRDefault="00AB634A" w:rsidP="001905BA">
      <w:pPr>
        <w:autoSpaceDE w:val="0"/>
        <w:autoSpaceDN w:val="0"/>
        <w:adjustRightInd w:val="0"/>
        <w:rPr>
          <w:rFonts w:ascii="Tahoma" w:hAnsi="Tahoma" w:cs="Tahoma"/>
          <w:b/>
          <w:szCs w:val="20"/>
        </w:rPr>
      </w:pPr>
      <w:r w:rsidRPr="00DE4214">
        <w:rPr>
          <w:rFonts w:ascii="Tahoma" w:hAnsi="Tahoma" w:cs="Tahoma"/>
          <w:b/>
          <w:szCs w:val="20"/>
        </w:rPr>
        <w:t>21. Opis kryteriów oceny ofert wraz z podaniem wag tych kryteriów i sposobu oceny ofert</w:t>
      </w:r>
    </w:p>
    <w:p w:rsidR="00AB634A" w:rsidRDefault="00AB634A" w:rsidP="001905BA">
      <w:pPr>
        <w:rPr>
          <w:rFonts w:ascii="Tahoma" w:hAnsi="Tahoma" w:cs="Tahoma"/>
          <w:szCs w:val="20"/>
        </w:rPr>
      </w:pPr>
      <w:r w:rsidRPr="00DE4214">
        <w:rPr>
          <w:rFonts w:ascii="Tahoma" w:hAnsi="Tahoma" w:cs="Tahoma"/>
          <w:szCs w:val="20"/>
        </w:rPr>
        <w:t>Zamawiający przy wyborze ofert będzie kierował się kryteria</w:t>
      </w:r>
      <w:r>
        <w:rPr>
          <w:rFonts w:ascii="Tahoma" w:hAnsi="Tahoma" w:cs="Tahoma"/>
          <w:szCs w:val="20"/>
        </w:rPr>
        <w:t>mi podanymi w poniższej tabeli.</w:t>
      </w:r>
    </w:p>
    <w:p w:rsidR="00AB634A" w:rsidRPr="001905BA" w:rsidRDefault="00AB634A" w:rsidP="001905BA">
      <w:pPr>
        <w:numPr>
          <w:ilvl w:val="0"/>
          <w:numId w:val="5"/>
        </w:numPr>
        <w:spacing w:after="0" w:line="240" w:lineRule="auto"/>
        <w:contextualSpacing/>
        <w:rPr>
          <w:b/>
          <w:sz w:val="18"/>
          <w:szCs w:val="18"/>
        </w:rPr>
      </w:pPr>
      <w:r w:rsidRPr="001905BA">
        <w:rPr>
          <w:b/>
          <w:sz w:val="18"/>
          <w:szCs w:val="18"/>
        </w:rPr>
        <w:t>Kryteria oceny ofert i ich znaczenie:</w:t>
      </w:r>
    </w:p>
    <w:p w:rsidR="00AB634A" w:rsidRDefault="00AB634A" w:rsidP="001905BA">
      <w:pPr>
        <w:contextualSpacing/>
        <w:rPr>
          <w:sz w:val="18"/>
          <w:szCs w:val="18"/>
        </w:rPr>
      </w:pPr>
    </w:p>
    <w:p w:rsidR="00AB634A" w:rsidRPr="00C326F2" w:rsidRDefault="00AB634A" w:rsidP="001905BA">
      <w:pPr>
        <w:rPr>
          <w:b/>
          <w:sz w:val="18"/>
          <w:szCs w:val="18"/>
        </w:rPr>
      </w:pPr>
    </w:p>
    <w:tbl>
      <w:tblPr>
        <w:tblpPr w:leftFromText="141" w:rightFromText="141" w:vertAnchor="text" w:tblpXSpec="center" w:tblpY="1"/>
        <w:tblOverlap w:val="neve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126"/>
        <w:gridCol w:w="1947"/>
        <w:gridCol w:w="3440"/>
      </w:tblGrid>
      <w:tr w:rsidR="00AB634A" w:rsidRPr="00887B3A" w:rsidTr="002A50A4">
        <w:tc>
          <w:tcPr>
            <w:tcW w:w="567" w:type="dxa"/>
            <w:tcBorders>
              <w:top w:val="single" w:sz="12" w:space="0" w:color="auto"/>
              <w:left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L.p.</w:t>
            </w:r>
          </w:p>
        </w:tc>
        <w:tc>
          <w:tcPr>
            <w:tcW w:w="2126" w:type="dxa"/>
            <w:tcBorders>
              <w:top w:val="single" w:sz="12" w:space="0" w:color="auto"/>
            </w:tcBorders>
            <w:shd w:val="clear" w:color="auto" w:fill="FFFFFF"/>
            <w:vAlign w:val="center"/>
          </w:tcPr>
          <w:p w:rsidR="00AB634A" w:rsidRPr="00887B3A" w:rsidRDefault="00AB634A" w:rsidP="002A50A4">
            <w:pPr>
              <w:keepNext/>
              <w:jc w:val="center"/>
              <w:outlineLvl w:val="5"/>
              <w:rPr>
                <w:rFonts w:cs="Tahoma"/>
                <w:sz w:val="16"/>
                <w:szCs w:val="16"/>
                <w:u w:val="single"/>
              </w:rPr>
            </w:pPr>
            <w:r w:rsidRPr="00887B3A">
              <w:rPr>
                <w:rFonts w:cs="Tahoma"/>
                <w:sz w:val="16"/>
                <w:szCs w:val="16"/>
                <w:u w:val="single"/>
              </w:rPr>
              <w:t>Kryterium</w:t>
            </w:r>
          </w:p>
        </w:tc>
        <w:tc>
          <w:tcPr>
            <w:tcW w:w="1947" w:type="dxa"/>
            <w:tcBorders>
              <w:top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Znaczenie procentowe kryterium</w:t>
            </w:r>
          </w:p>
        </w:tc>
        <w:tc>
          <w:tcPr>
            <w:tcW w:w="3440" w:type="dxa"/>
            <w:tcBorders>
              <w:top w:val="single" w:sz="12" w:space="0" w:color="auto"/>
              <w:right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Maksymalna ilość punktów, jakie może otrzymać oferta za dane kryterium</w:t>
            </w:r>
          </w:p>
        </w:tc>
      </w:tr>
      <w:tr w:rsidR="00AB634A" w:rsidRPr="00887B3A" w:rsidTr="002A50A4">
        <w:trPr>
          <w:trHeight w:val="399"/>
        </w:trPr>
        <w:tc>
          <w:tcPr>
            <w:tcW w:w="567" w:type="dxa"/>
            <w:tcBorders>
              <w:left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1.</w:t>
            </w:r>
          </w:p>
        </w:tc>
        <w:tc>
          <w:tcPr>
            <w:tcW w:w="2126" w:type="dxa"/>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Cena - C</w:t>
            </w:r>
          </w:p>
        </w:tc>
        <w:tc>
          <w:tcPr>
            <w:tcW w:w="1947" w:type="dxa"/>
            <w:shd w:val="clear" w:color="auto" w:fill="FFFFFF"/>
            <w:vAlign w:val="center"/>
          </w:tcPr>
          <w:p w:rsidR="00AB634A" w:rsidRPr="00887B3A" w:rsidRDefault="00AB634A" w:rsidP="002A50A4">
            <w:pPr>
              <w:ind w:right="497"/>
              <w:jc w:val="right"/>
              <w:rPr>
                <w:rFonts w:cs="Tahoma"/>
                <w:sz w:val="16"/>
                <w:szCs w:val="16"/>
              </w:rPr>
            </w:pPr>
            <w:r w:rsidRPr="00887B3A">
              <w:rPr>
                <w:rFonts w:cs="Tahoma"/>
                <w:sz w:val="16"/>
                <w:szCs w:val="16"/>
              </w:rPr>
              <w:t>60 %</w:t>
            </w:r>
          </w:p>
        </w:tc>
        <w:tc>
          <w:tcPr>
            <w:tcW w:w="3440" w:type="dxa"/>
            <w:tcBorders>
              <w:right w:val="single" w:sz="12" w:space="0" w:color="auto"/>
            </w:tcBorders>
            <w:shd w:val="clear" w:color="auto" w:fill="FFFFFF"/>
            <w:vAlign w:val="center"/>
          </w:tcPr>
          <w:p w:rsidR="00AB634A" w:rsidRPr="00887B3A" w:rsidRDefault="00AB634A" w:rsidP="002A50A4">
            <w:pPr>
              <w:ind w:right="1064"/>
              <w:jc w:val="right"/>
              <w:rPr>
                <w:rFonts w:cs="Tahoma"/>
                <w:sz w:val="16"/>
                <w:szCs w:val="16"/>
              </w:rPr>
            </w:pPr>
            <w:r w:rsidRPr="00887B3A">
              <w:rPr>
                <w:rFonts w:cs="Tahoma"/>
                <w:sz w:val="16"/>
                <w:szCs w:val="16"/>
              </w:rPr>
              <w:t>60 punktów</w:t>
            </w:r>
          </w:p>
        </w:tc>
      </w:tr>
      <w:tr w:rsidR="00AB634A" w:rsidRPr="00887B3A" w:rsidTr="002A50A4">
        <w:trPr>
          <w:trHeight w:val="420"/>
        </w:trPr>
        <w:tc>
          <w:tcPr>
            <w:tcW w:w="567" w:type="dxa"/>
            <w:tcBorders>
              <w:left w:val="single" w:sz="12" w:space="0" w:color="auto"/>
              <w:bottom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2.</w:t>
            </w:r>
          </w:p>
        </w:tc>
        <w:tc>
          <w:tcPr>
            <w:tcW w:w="2126" w:type="dxa"/>
            <w:tcBorders>
              <w:bottom w:val="single" w:sz="12" w:space="0" w:color="auto"/>
            </w:tcBorders>
            <w:shd w:val="clear" w:color="auto" w:fill="FFFFFF"/>
            <w:vAlign w:val="center"/>
          </w:tcPr>
          <w:p w:rsidR="00AB634A" w:rsidRPr="00887B3A" w:rsidRDefault="00AB634A" w:rsidP="002A50A4">
            <w:pPr>
              <w:jc w:val="center"/>
              <w:rPr>
                <w:rFonts w:cs="Tahoma"/>
                <w:sz w:val="16"/>
                <w:szCs w:val="16"/>
              </w:rPr>
            </w:pPr>
            <w:r w:rsidRPr="00F8284D">
              <w:rPr>
                <w:sz w:val="16"/>
                <w:szCs w:val="16"/>
              </w:rPr>
              <w:t>Otwarty dostęp do programowania parametrów technologicznych procesu dla dowolnych materiałów.</w:t>
            </w:r>
            <w:r w:rsidRPr="00887B3A">
              <w:rPr>
                <w:sz w:val="16"/>
                <w:szCs w:val="16"/>
              </w:rPr>
              <w:t xml:space="preserve"> - D</w:t>
            </w:r>
          </w:p>
        </w:tc>
        <w:tc>
          <w:tcPr>
            <w:tcW w:w="1947" w:type="dxa"/>
            <w:tcBorders>
              <w:bottom w:val="single" w:sz="12" w:space="0" w:color="auto"/>
            </w:tcBorders>
            <w:shd w:val="clear" w:color="auto" w:fill="FFFFFF"/>
            <w:vAlign w:val="center"/>
          </w:tcPr>
          <w:p w:rsidR="00AB634A" w:rsidRPr="00887B3A" w:rsidRDefault="00AB634A" w:rsidP="002A50A4">
            <w:pPr>
              <w:ind w:right="497"/>
              <w:jc w:val="right"/>
              <w:rPr>
                <w:rFonts w:cs="Tahoma"/>
                <w:sz w:val="16"/>
                <w:szCs w:val="16"/>
              </w:rPr>
            </w:pPr>
            <w:r w:rsidRPr="00887B3A">
              <w:rPr>
                <w:rFonts w:cs="Tahoma"/>
                <w:sz w:val="16"/>
                <w:szCs w:val="16"/>
              </w:rPr>
              <w:t>15 %</w:t>
            </w:r>
          </w:p>
        </w:tc>
        <w:tc>
          <w:tcPr>
            <w:tcW w:w="3440" w:type="dxa"/>
            <w:tcBorders>
              <w:bottom w:val="single" w:sz="12" w:space="0" w:color="auto"/>
              <w:right w:val="single" w:sz="12" w:space="0" w:color="auto"/>
            </w:tcBorders>
            <w:shd w:val="clear" w:color="auto" w:fill="FFFFFF"/>
            <w:vAlign w:val="center"/>
          </w:tcPr>
          <w:p w:rsidR="00AB634A" w:rsidRPr="00887B3A" w:rsidRDefault="00AB634A" w:rsidP="002A50A4">
            <w:pPr>
              <w:ind w:right="1064"/>
              <w:jc w:val="right"/>
              <w:rPr>
                <w:rFonts w:cs="Tahoma"/>
                <w:sz w:val="16"/>
                <w:szCs w:val="16"/>
              </w:rPr>
            </w:pPr>
            <w:r w:rsidRPr="00887B3A">
              <w:rPr>
                <w:rFonts w:cs="Tahoma"/>
                <w:sz w:val="16"/>
                <w:szCs w:val="16"/>
              </w:rPr>
              <w:t>15 punktów</w:t>
            </w:r>
          </w:p>
        </w:tc>
      </w:tr>
      <w:tr w:rsidR="00AB634A" w:rsidRPr="00887B3A" w:rsidTr="002A50A4">
        <w:trPr>
          <w:trHeight w:val="420"/>
        </w:trPr>
        <w:tc>
          <w:tcPr>
            <w:tcW w:w="567" w:type="dxa"/>
            <w:tcBorders>
              <w:left w:val="single" w:sz="12" w:space="0" w:color="auto"/>
              <w:bottom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3</w:t>
            </w:r>
          </w:p>
        </w:tc>
        <w:tc>
          <w:tcPr>
            <w:tcW w:w="2126" w:type="dxa"/>
            <w:tcBorders>
              <w:bottom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sz w:val="16"/>
                <w:szCs w:val="16"/>
              </w:rPr>
              <w:t>Dostęp do parametrów urządzenia z poziomu serwisanta (po upływie okresu gwarancji) - E</w:t>
            </w:r>
          </w:p>
        </w:tc>
        <w:tc>
          <w:tcPr>
            <w:tcW w:w="1947" w:type="dxa"/>
            <w:tcBorders>
              <w:bottom w:val="single" w:sz="12" w:space="0" w:color="auto"/>
            </w:tcBorders>
            <w:shd w:val="clear" w:color="auto" w:fill="FFFFFF"/>
            <w:vAlign w:val="center"/>
          </w:tcPr>
          <w:p w:rsidR="00AB634A" w:rsidRPr="00887B3A" w:rsidRDefault="00AB634A" w:rsidP="002A50A4">
            <w:pPr>
              <w:ind w:right="497"/>
              <w:jc w:val="right"/>
              <w:rPr>
                <w:rFonts w:cs="Tahoma"/>
                <w:sz w:val="16"/>
                <w:szCs w:val="16"/>
              </w:rPr>
            </w:pPr>
            <w:r w:rsidRPr="00887B3A">
              <w:rPr>
                <w:rFonts w:cs="Tahoma"/>
                <w:sz w:val="16"/>
                <w:szCs w:val="16"/>
              </w:rPr>
              <w:t>15 %</w:t>
            </w:r>
          </w:p>
        </w:tc>
        <w:tc>
          <w:tcPr>
            <w:tcW w:w="3440" w:type="dxa"/>
            <w:tcBorders>
              <w:bottom w:val="single" w:sz="12" w:space="0" w:color="auto"/>
              <w:right w:val="single" w:sz="12" w:space="0" w:color="auto"/>
            </w:tcBorders>
            <w:shd w:val="clear" w:color="auto" w:fill="FFFFFF"/>
            <w:vAlign w:val="center"/>
          </w:tcPr>
          <w:p w:rsidR="00AB634A" w:rsidRPr="00887B3A" w:rsidRDefault="00AB634A" w:rsidP="002A50A4">
            <w:pPr>
              <w:ind w:right="1064"/>
              <w:jc w:val="right"/>
              <w:rPr>
                <w:rFonts w:cs="Tahoma"/>
                <w:sz w:val="16"/>
                <w:szCs w:val="16"/>
              </w:rPr>
            </w:pPr>
            <w:r w:rsidRPr="00887B3A">
              <w:rPr>
                <w:rFonts w:cs="Tahoma"/>
                <w:sz w:val="16"/>
                <w:szCs w:val="16"/>
              </w:rPr>
              <w:t>15 punktów</w:t>
            </w:r>
          </w:p>
        </w:tc>
      </w:tr>
      <w:tr w:rsidR="00AB634A" w:rsidRPr="00887B3A" w:rsidTr="002A50A4">
        <w:trPr>
          <w:trHeight w:val="420"/>
        </w:trPr>
        <w:tc>
          <w:tcPr>
            <w:tcW w:w="567" w:type="dxa"/>
            <w:tcBorders>
              <w:left w:val="single" w:sz="12" w:space="0" w:color="auto"/>
              <w:bottom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4</w:t>
            </w:r>
          </w:p>
        </w:tc>
        <w:tc>
          <w:tcPr>
            <w:tcW w:w="2126" w:type="dxa"/>
            <w:tcBorders>
              <w:bottom w:val="single" w:sz="12" w:space="0" w:color="auto"/>
            </w:tcBorders>
            <w:shd w:val="clear" w:color="auto" w:fill="FFFFFF"/>
            <w:vAlign w:val="center"/>
          </w:tcPr>
          <w:p w:rsidR="00AB634A" w:rsidRPr="00887B3A" w:rsidRDefault="00AB634A" w:rsidP="002A50A4">
            <w:pPr>
              <w:jc w:val="center"/>
              <w:rPr>
                <w:rFonts w:cs="Tahoma"/>
                <w:sz w:val="16"/>
                <w:szCs w:val="16"/>
              </w:rPr>
            </w:pPr>
            <w:r w:rsidRPr="00887B3A">
              <w:rPr>
                <w:rFonts w:cs="Tahoma"/>
                <w:sz w:val="16"/>
                <w:szCs w:val="16"/>
              </w:rPr>
              <w:t>Okres gwarancji - F</w:t>
            </w:r>
          </w:p>
        </w:tc>
        <w:tc>
          <w:tcPr>
            <w:tcW w:w="1947" w:type="dxa"/>
            <w:tcBorders>
              <w:bottom w:val="single" w:sz="12" w:space="0" w:color="auto"/>
            </w:tcBorders>
            <w:shd w:val="clear" w:color="auto" w:fill="FFFFFF"/>
            <w:vAlign w:val="center"/>
          </w:tcPr>
          <w:p w:rsidR="00AB634A" w:rsidRPr="00887B3A" w:rsidRDefault="00AB634A" w:rsidP="002A50A4">
            <w:pPr>
              <w:ind w:right="497"/>
              <w:jc w:val="right"/>
              <w:rPr>
                <w:rFonts w:cs="Tahoma"/>
                <w:sz w:val="16"/>
                <w:szCs w:val="16"/>
              </w:rPr>
            </w:pPr>
            <w:r w:rsidRPr="00887B3A">
              <w:rPr>
                <w:rFonts w:cs="Tahoma"/>
                <w:sz w:val="16"/>
                <w:szCs w:val="16"/>
              </w:rPr>
              <w:t>10 %</w:t>
            </w:r>
          </w:p>
        </w:tc>
        <w:tc>
          <w:tcPr>
            <w:tcW w:w="3440" w:type="dxa"/>
            <w:tcBorders>
              <w:bottom w:val="single" w:sz="12" w:space="0" w:color="auto"/>
              <w:right w:val="single" w:sz="12" w:space="0" w:color="auto"/>
            </w:tcBorders>
            <w:shd w:val="clear" w:color="auto" w:fill="FFFFFF"/>
            <w:vAlign w:val="center"/>
          </w:tcPr>
          <w:p w:rsidR="00AB634A" w:rsidRPr="00887B3A" w:rsidRDefault="00AB634A" w:rsidP="002A50A4">
            <w:pPr>
              <w:ind w:right="1064"/>
              <w:jc w:val="right"/>
              <w:rPr>
                <w:rFonts w:cs="Tahoma"/>
                <w:sz w:val="16"/>
                <w:szCs w:val="16"/>
              </w:rPr>
            </w:pPr>
            <w:r w:rsidRPr="00887B3A">
              <w:rPr>
                <w:rFonts w:cs="Tahoma"/>
                <w:sz w:val="16"/>
                <w:szCs w:val="16"/>
              </w:rPr>
              <w:t>10 punktów</w:t>
            </w:r>
          </w:p>
        </w:tc>
      </w:tr>
      <w:tr w:rsidR="00AB634A" w:rsidRPr="00887B3A" w:rsidTr="002A50A4">
        <w:tc>
          <w:tcPr>
            <w:tcW w:w="2693" w:type="dxa"/>
            <w:gridSpan w:val="2"/>
            <w:tcBorders>
              <w:top w:val="single" w:sz="12" w:space="0" w:color="auto"/>
              <w:left w:val="nil"/>
              <w:bottom w:val="nil"/>
              <w:right w:val="single" w:sz="12" w:space="0" w:color="auto"/>
            </w:tcBorders>
            <w:shd w:val="clear" w:color="auto" w:fill="FFFFFF"/>
            <w:vAlign w:val="center"/>
          </w:tcPr>
          <w:p w:rsidR="00AB634A" w:rsidRPr="00887B3A" w:rsidRDefault="00AB634A" w:rsidP="002A50A4">
            <w:pPr>
              <w:jc w:val="right"/>
              <w:rPr>
                <w:rFonts w:cs="Tahoma"/>
                <w:sz w:val="16"/>
                <w:szCs w:val="16"/>
              </w:rPr>
            </w:pPr>
            <w:r w:rsidRPr="00887B3A">
              <w:rPr>
                <w:rFonts w:cs="Tahoma"/>
                <w:sz w:val="16"/>
                <w:szCs w:val="16"/>
              </w:rPr>
              <w:t>suma:</w:t>
            </w:r>
          </w:p>
        </w:tc>
        <w:tc>
          <w:tcPr>
            <w:tcW w:w="1947" w:type="dxa"/>
            <w:tcBorders>
              <w:top w:val="single" w:sz="12" w:space="0" w:color="auto"/>
              <w:left w:val="single" w:sz="12" w:space="0" w:color="auto"/>
              <w:bottom w:val="single" w:sz="12" w:space="0" w:color="auto"/>
              <w:right w:val="single" w:sz="12" w:space="0" w:color="auto"/>
            </w:tcBorders>
            <w:shd w:val="clear" w:color="auto" w:fill="FFFFFF"/>
            <w:vAlign w:val="center"/>
          </w:tcPr>
          <w:p w:rsidR="00AB634A" w:rsidRPr="00887B3A" w:rsidRDefault="00AB634A" w:rsidP="002A50A4">
            <w:pPr>
              <w:ind w:right="497"/>
              <w:jc w:val="right"/>
              <w:rPr>
                <w:rFonts w:cs="Tahoma"/>
                <w:sz w:val="16"/>
                <w:szCs w:val="16"/>
              </w:rPr>
            </w:pPr>
            <w:r w:rsidRPr="00887B3A">
              <w:rPr>
                <w:rFonts w:cs="Tahoma"/>
                <w:sz w:val="16"/>
                <w:szCs w:val="16"/>
              </w:rPr>
              <w:t>100 %</w:t>
            </w:r>
          </w:p>
        </w:tc>
        <w:tc>
          <w:tcPr>
            <w:tcW w:w="3440" w:type="dxa"/>
            <w:tcBorders>
              <w:top w:val="single" w:sz="12" w:space="0" w:color="auto"/>
              <w:left w:val="single" w:sz="12" w:space="0" w:color="auto"/>
              <w:bottom w:val="nil"/>
              <w:right w:val="nil"/>
            </w:tcBorders>
            <w:shd w:val="clear" w:color="auto" w:fill="FFFFFF"/>
            <w:vAlign w:val="center"/>
          </w:tcPr>
          <w:p w:rsidR="00AB634A" w:rsidRPr="00887B3A" w:rsidRDefault="00AB634A" w:rsidP="002A50A4">
            <w:pPr>
              <w:jc w:val="center"/>
              <w:rPr>
                <w:rFonts w:cs="Tahoma"/>
                <w:sz w:val="16"/>
                <w:szCs w:val="16"/>
              </w:rPr>
            </w:pPr>
          </w:p>
        </w:tc>
      </w:tr>
    </w:tbl>
    <w:p w:rsidR="00AB634A" w:rsidRPr="00C326F2" w:rsidRDefault="00AB634A" w:rsidP="001905BA">
      <w:pPr>
        <w:keepNext/>
        <w:outlineLvl w:val="0"/>
        <w:rPr>
          <w:rFonts w:cs="Tahoma"/>
          <w:sz w:val="18"/>
          <w:szCs w:val="18"/>
        </w:rPr>
      </w:pPr>
      <w:r>
        <w:rPr>
          <w:sz w:val="16"/>
          <w:szCs w:val="16"/>
        </w:rPr>
        <w:t xml:space="preserve">2. </w:t>
      </w:r>
      <w:r w:rsidRPr="00C326F2">
        <w:rPr>
          <w:rFonts w:cs="Tahoma"/>
          <w:sz w:val="18"/>
          <w:szCs w:val="18"/>
        </w:rPr>
        <w:t>Sposób oceny ofert:</w:t>
      </w:r>
    </w:p>
    <w:p w:rsidR="00AB634A" w:rsidRPr="001905BA" w:rsidRDefault="00AB634A" w:rsidP="001905BA">
      <w:pPr>
        <w:rPr>
          <w:sz w:val="18"/>
          <w:szCs w:val="18"/>
        </w:rPr>
      </w:pPr>
      <w:r w:rsidRPr="00C326F2">
        <w:rPr>
          <w:sz w:val="18"/>
          <w:szCs w:val="18"/>
        </w:rPr>
        <w:t>Zamawiający wybierze ofertę najkorzystniejszą na podstawie kryteriów oceny ofert określonych w SIWZ. Za najkorzystniejszą uznana zostanie ta z ocenianych ofert, która uzyska maksymalną ocenę punktową (W</w:t>
      </w:r>
      <w:r w:rsidRPr="00C326F2">
        <w:rPr>
          <w:sz w:val="18"/>
          <w:szCs w:val="18"/>
          <w:vertAlign w:val="subscript"/>
        </w:rPr>
        <w:t>max</w:t>
      </w:r>
      <w:r w:rsidRPr="00C326F2">
        <w:rPr>
          <w:sz w:val="18"/>
          <w:szCs w:val="18"/>
        </w:rPr>
        <w:t>) wg poniższego wzoru. Dla powyższych kryteriów oceny ofert, Zamawiający będzie obliczał wartość punktową oferty (zaokrągloną do dwóch miejsc po przecinku) w oparciu o następujący wzór:</w:t>
      </w:r>
    </w:p>
    <w:p w:rsidR="00AB634A" w:rsidRPr="00887B3A" w:rsidRDefault="00AB634A" w:rsidP="001905BA">
      <w:pPr>
        <w:pStyle w:val="Heading4"/>
        <w:pBdr>
          <w:top w:val="single" w:sz="4" w:space="1" w:color="auto"/>
          <w:left w:val="single" w:sz="4" w:space="4" w:color="auto"/>
          <w:bottom w:val="single" w:sz="4" w:space="1" w:color="auto"/>
          <w:right w:val="single" w:sz="4" w:space="4" w:color="auto"/>
        </w:pBdr>
        <w:rPr>
          <w:rFonts w:ascii="Verdana" w:hAnsi="Verdana"/>
          <w:sz w:val="16"/>
          <w:szCs w:val="16"/>
        </w:rPr>
      </w:pPr>
      <w:r w:rsidRPr="00887B3A">
        <w:rPr>
          <w:rFonts w:ascii="Verdana" w:hAnsi="Verdana"/>
          <w:sz w:val="16"/>
          <w:szCs w:val="16"/>
        </w:rPr>
        <w:t>W = C + D + E + F</w:t>
      </w:r>
    </w:p>
    <w:p w:rsidR="00AB634A" w:rsidRPr="004B05B7" w:rsidRDefault="00AB634A" w:rsidP="004B05B7">
      <w:pPr>
        <w:numPr>
          <w:ilvl w:val="12"/>
          <w:numId w:val="0"/>
        </w:numPr>
        <w:pBdr>
          <w:top w:val="single" w:sz="4" w:space="1" w:color="auto"/>
          <w:left w:val="single" w:sz="4" w:space="4" w:color="auto"/>
          <w:bottom w:val="single" w:sz="4" w:space="1" w:color="auto"/>
          <w:right w:val="single" w:sz="4" w:space="4" w:color="auto"/>
        </w:pBdr>
        <w:ind w:left="142" w:hanging="142"/>
        <w:rPr>
          <w:rFonts w:cs="Tahoma"/>
          <w:sz w:val="16"/>
          <w:szCs w:val="16"/>
        </w:rPr>
      </w:pPr>
      <w:r w:rsidRPr="00887B3A">
        <w:rPr>
          <w:rFonts w:cs="Tahoma"/>
          <w:sz w:val="16"/>
          <w:szCs w:val="16"/>
        </w:rPr>
        <w:t>gdzie:</w:t>
      </w:r>
    </w:p>
    <w:p w:rsidR="00AB634A" w:rsidRPr="00887B3A" w:rsidRDefault="00AB634A" w:rsidP="001905BA">
      <w:pPr>
        <w:pBdr>
          <w:top w:val="single" w:sz="4" w:space="1" w:color="auto"/>
          <w:left w:val="single" w:sz="4" w:space="4" w:color="auto"/>
          <w:bottom w:val="single" w:sz="4" w:space="1" w:color="auto"/>
          <w:right w:val="single" w:sz="4" w:space="4" w:color="auto"/>
        </w:pBdr>
        <w:rPr>
          <w:rFonts w:cs="Tahoma"/>
          <w:b/>
          <w:sz w:val="16"/>
          <w:szCs w:val="16"/>
        </w:rPr>
      </w:pPr>
      <w:r w:rsidRPr="00887B3A">
        <w:rPr>
          <w:rFonts w:cs="Tahoma"/>
          <w:b/>
          <w:sz w:val="16"/>
          <w:szCs w:val="16"/>
        </w:rPr>
        <w:t>1. kryterium – Cena (C)</w:t>
      </w:r>
    </w:p>
    <w:p w:rsidR="00AB634A" w:rsidRPr="00887B3A" w:rsidRDefault="00AB634A" w:rsidP="001905BA">
      <w:pPr>
        <w:numPr>
          <w:ilvl w:val="12"/>
          <w:numId w:val="0"/>
        </w:numPr>
        <w:pBdr>
          <w:top w:val="single" w:sz="4" w:space="1" w:color="auto"/>
          <w:left w:val="single" w:sz="4" w:space="4" w:color="auto"/>
          <w:bottom w:val="single" w:sz="4" w:space="1" w:color="auto"/>
          <w:right w:val="single" w:sz="4" w:space="4" w:color="auto"/>
        </w:pBdr>
        <w:rPr>
          <w:rFonts w:cs="Tahoma"/>
          <w:sz w:val="16"/>
          <w:szCs w:val="16"/>
          <w:vertAlign w:val="subscript"/>
        </w:rPr>
      </w:pPr>
      <w:r w:rsidRPr="00887B3A">
        <w:rPr>
          <w:rFonts w:cs="Tahoma"/>
          <w:sz w:val="16"/>
          <w:szCs w:val="16"/>
        </w:rPr>
        <w:t xml:space="preserve">      C = R</w:t>
      </w:r>
      <w:r w:rsidRPr="00887B3A">
        <w:rPr>
          <w:rFonts w:cs="Tahoma"/>
          <w:sz w:val="16"/>
          <w:szCs w:val="16"/>
          <w:vertAlign w:val="subscript"/>
        </w:rPr>
        <w:t>1</w:t>
      </w:r>
      <w:r w:rsidRPr="00887B3A">
        <w:rPr>
          <w:rFonts w:cs="Tahoma"/>
          <w:sz w:val="16"/>
          <w:szCs w:val="16"/>
        </w:rPr>
        <w:t xml:space="preserve"> x C</w:t>
      </w:r>
      <w:r w:rsidRPr="00887B3A">
        <w:rPr>
          <w:rFonts w:cs="Tahoma"/>
          <w:sz w:val="16"/>
          <w:szCs w:val="16"/>
          <w:vertAlign w:val="subscript"/>
        </w:rPr>
        <w:t xml:space="preserve">min </w:t>
      </w:r>
      <w:r w:rsidRPr="00887B3A">
        <w:rPr>
          <w:rFonts w:cs="Tahoma"/>
          <w:sz w:val="16"/>
          <w:szCs w:val="16"/>
        </w:rPr>
        <w:t>/ C</w:t>
      </w:r>
      <w:r w:rsidRPr="00887B3A">
        <w:rPr>
          <w:rFonts w:cs="Tahoma"/>
          <w:sz w:val="16"/>
          <w:szCs w:val="16"/>
          <w:vertAlign w:val="subscript"/>
        </w:rPr>
        <w:t>b</w:t>
      </w:r>
    </w:p>
    <w:p w:rsidR="00AB634A" w:rsidRPr="00887B3A" w:rsidRDefault="00AB634A" w:rsidP="001905BA">
      <w:pPr>
        <w:numPr>
          <w:ilvl w:val="12"/>
          <w:numId w:val="0"/>
        </w:numPr>
        <w:pBdr>
          <w:top w:val="single" w:sz="4" w:space="1" w:color="auto"/>
          <w:left w:val="single" w:sz="4" w:space="4" w:color="auto"/>
          <w:bottom w:val="single" w:sz="4" w:space="1" w:color="auto"/>
          <w:right w:val="single" w:sz="4" w:space="4" w:color="auto"/>
        </w:pBdr>
        <w:tabs>
          <w:tab w:val="left" w:pos="1134"/>
          <w:tab w:val="left" w:pos="1418"/>
        </w:tabs>
        <w:rPr>
          <w:rFonts w:cs="Tahoma"/>
          <w:sz w:val="16"/>
          <w:szCs w:val="16"/>
        </w:rPr>
      </w:pPr>
      <w:r w:rsidRPr="00887B3A">
        <w:rPr>
          <w:rFonts w:cs="Tahoma"/>
          <w:sz w:val="16"/>
          <w:szCs w:val="16"/>
        </w:rPr>
        <w:t xml:space="preserve">      C</w:t>
      </w:r>
      <w:r w:rsidRPr="00887B3A">
        <w:rPr>
          <w:rFonts w:cs="Tahoma"/>
          <w:sz w:val="16"/>
          <w:szCs w:val="16"/>
          <w:vertAlign w:val="subscript"/>
        </w:rPr>
        <w:t xml:space="preserve">min </w:t>
      </w:r>
      <w:r w:rsidRPr="00887B3A">
        <w:rPr>
          <w:rFonts w:cs="Tahoma"/>
          <w:sz w:val="16"/>
          <w:szCs w:val="16"/>
          <w:vertAlign w:val="subscript"/>
        </w:rPr>
        <w:tab/>
      </w:r>
      <w:r w:rsidRPr="00887B3A">
        <w:rPr>
          <w:rFonts w:cs="Tahoma"/>
          <w:sz w:val="16"/>
          <w:szCs w:val="16"/>
        </w:rPr>
        <w:t xml:space="preserve">– </w:t>
      </w:r>
      <w:r w:rsidRPr="00887B3A">
        <w:rPr>
          <w:rFonts w:cs="Tahoma"/>
          <w:sz w:val="16"/>
          <w:szCs w:val="16"/>
        </w:rPr>
        <w:tab/>
        <w:t xml:space="preserve">cena oferty najtańszej </w:t>
      </w:r>
    </w:p>
    <w:p w:rsidR="00AB634A" w:rsidRPr="00887B3A" w:rsidRDefault="00AB634A" w:rsidP="001905BA">
      <w:pPr>
        <w:numPr>
          <w:ilvl w:val="12"/>
          <w:numId w:val="0"/>
        </w:numPr>
        <w:pBdr>
          <w:top w:val="single" w:sz="4" w:space="1" w:color="auto"/>
          <w:left w:val="single" w:sz="4" w:space="4" w:color="auto"/>
          <w:bottom w:val="single" w:sz="4" w:space="1" w:color="auto"/>
          <w:right w:val="single" w:sz="4" w:space="4" w:color="auto"/>
        </w:pBdr>
        <w:tabs>
          <w:tab w:val="left" w:pos="1134"/>
          <w:tab w:val="left" w:pos="1418"/>
        </w:tabs>
        <w:rPr>
          <w:rFonts w:cs="Tahoma"/>
          <w:sz w:val="16"/>
          <w:szCs w:val="16"/>
        </w:rPr>
      </w:pPr>
      <w:r w:rsidRPr="00887B3A">
        <w:rPr>
          <w:rFonts w:cs="Tahoma"/>
          <w:sz w:val="16"/>
          <w:szCs w:val="16"/>
        </w:rPr>
        <w:t xml:space="preserve">      C</w:t>
      </w:r>
      <w:r w:rsidRPr="00887B3A">
        <w:rPr>
          <w:rFonts w:cs="Tahoma"/>
          <w:sz w:val="16"/>
          <w:szCs w:val="16"/>
          <w:vertAlign w:val="subscript"/>
        </w:rPr>
        <w:t>b</w:t>
      </w:r>
      <w:r w:rsidRPr="00887B3A">
        <w:rPr>
          <w:rFonts w:cs="Tahoma"/>
          <w:sz w:val="16"/>
          <w:szCs w:val="16"/>
        </w:rPr>
        <w:tab/>
        <w:t xml:space="preserve">– </w:t>
      </w:r>
      <w:r w:rsidRPr="00887B3A">
        <w:rPr>
          <w:rFonts w:cs="Tahoma"/>
          <w:sz w:val="16"/>
          <w:szCs w:val="16"/>
        </w:rPr>
        <w:tab/>
        <w:t>cena oferty badanej</w:t>
      </w:r>
    </w:p>
    <w:p w:rsidR="00AB634A" w:rsidRPr="00887B3A" w:rsidRDefault="00AB634A" w:rsidP="001905BA">
      <w:pPr>
        <w:numPr>
          <w:ilvl w:val="12"/>
          <w:numId w:val="0"/>
        </w:numPr>
        <w:pBdr>
          <w:top w:val="single" w:sz="4" w:space="1" w:color="auto"/>
          <w:left w:val="single" w:sz="4" w:space="4" w:color="auto"/>
          <w:bottom w:val="single" w:sz="4" w:space="1" w:color="auto"/>
          <w:right w:val="single" w:sz="4" w:space="4" w:color="auto"/>
        </w:pBdr>
        <w:tabs>
          <w:tab w:val="left" w:pos="1134"/>
          <w:tab w:val="left" w:pos="1418"/>
        </w:tabs>
        <w:rPr>
          <w:rFonts w:cs="Tahoma"/>
          <w:b/>
          <w:sz w:val="16"/>
          <w:szCs w:val="16"/>
        </w:rPr>
      </w:pPr>
      <w:r w:rsidRPr="00887B3A">
        <w:rPr>
          <w:rFonts w:cs="Tahoma"/>
          <w:sz w:val="16"/>
          <w:szCs w:val="16"/>
        </w:rPr>
        <w:t xml:space="preserve">      R</w:t>
      </w:r>
      <w:r w:rsidRPr="00887B3A">
        <w:rPr>
          <w:rFonts w:cs="Tahoma"/>
          <w:sz w:val="16"/>
          <w:szCs w:val="16"/>
          <w:vertAlign w:val="subscript"/>
        </w:rPr>
        <w:t>1</w:t>
      </w:r>
      <w:r w:rsidRPr="00887B3A">
        <w:rPr>
          <w:rFonts w:cs="Tahoma"/>
          <w:sz w:val="16"/>
          <w:szCs w:val="16"/>
        </w:rPr>
        <w:tab/>
        <w:t xml:space="preserve">– </w:t>
      </w:r>
      <w:r w:rsidRPr="00887B3A">
        <w:rPr>
          <w:rFonts w:cs="Tahoma"/>
          <w:sz w:val="16"/>
          <w:szCs w:val="16"/>
        </w:rPr>
        <w:tab/>
        <w:t xml:space="preserve">znaczenie procentowe kryterium </w:t>
      </w:r>
      <w:r w:rsidRPr="00887B3A">
        <w:rPr>
          <w:rFonts w:cs="Tahoma"/>
          <w:b/>
          <w:sz w:val="16"/>
          <w:szCs w:val="16"/>
        </w:rPr>
        <w:t>Cena</w:t>
      </w:r>
    </w:p>
    <w:p w:rsidR="00AB634A" w:rsidRPr="00887B3A" w:rsidRDefault="00AB634A" w:rsidP="001905BA">
      <w:pPr>
        <w:pBdr>
          <w:top w:val="single" w:sz="4" w:space="1" w:color="auto"/>
          <w:left w:val="single" w:sz="4" w:space="4" w:color="auto"/>
          <w:bottom w:val="single" w:sz="4" w:space="1" w:color="auto"/>
          <w:right w:val="single" w:sz="4" w:space="4" w:color="auto"/>
        </w:pBdr>
        <w:tabs>
          <w:tab w:val="left" w:pos="1134"/>
          <w:tab w:val="left" w:pos="1418"/>
        </w:tabs>
        <w:rPr>
          <w:rFonts w:cs="Tahoma"/>
          <w:b/>
          <w:sz w:val="16"/>
          <w:szCs w:val="16"/>
        </w:rPr>
      </w:pPr>
      <w:r w:rsidRPr="00887B3A">
        <w:rPr>
          <w:rFonts w:cs="Tahoma"/>
          <w:b/>
          <w:sz w:val="16"/>
          <w:szCs w:val="16"/>
        </w:rPr>
        <w:t>2. kryterium – Otwarty dostęp do programowania parametrów technologicznych procesu dla dowolnych materiałów. (D)</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 xml:space="preserve">Punktacja: </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TAK –15 pkt</w:t>
      </w:r>
    </w:p>
    <w:p w:rsidR="00AB634A" w:rsidRPr="00887B3A" w:rsidRDefault="00AB634A" w:rsidP="004B05B7">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NIE – 0 pkt</w:t>
      </w:r>
    </w:p>
    <w:p w:rsidR="00AB634A" w:rsidRDefault="00AB634A" w:rsidP="004B05B7">
      <w:pPr>
        <w:pBdr>
          <w:top w:val="single" w:sz="4" w:space="1" w:color="auto"/>
          <w:left w:val="single" w:sz="4" w:space="4" w:color="auto"/>
          <w:bottom w:val="single" w:sz="4" w:space="1" w:color="auto"/>
          <w:right w:val="single" w:sz="4" w:space="4" w:color="auto"/>
        </w:pBdr>
        <w:rPr>
          <w:rFonts w:cs="Tahoma"/>
          <w:b/>
          <w:sz w:val="16"/>
          <w:szCs w:val="16"/>
        </w:rPr>
      </w:pPr>
      <w:r w:rsidRPr="00887B3A">
        <w:rPr>
          <w:rFonts w:cs="Tahoma"/>
          <w:b/>
          <w:sz w:val="16"/>
          <w:szCs w:val="16"/>
        </w:rPr>
        <w:t>3. k</w:t>
      </w:r>
      <w:r>
        <w:rPr>
          <w:rFonts w:cs="Tahoma"/>
          <w:b/>
          <w:sz w:val="16"/>
          <w:szCs w:val="16"/>
        </w:rPr>
        <w:t xml:space="preserve">ryterium – </w:t>
      </w:r>
      <w:r>
        <w:rPr>
          <w:rFonts w:cs="Tahoma"/>
          <w:b/>
          <w:sz w:val="16"/>
          <w:szCs w:val="16"/>
        </w:rPr>
        <w:tab/>
      </w:r>
      <w:r w:rsidRPr="001905BA">
        <w:rPr>
          <w:rFonts w:cs="Tahoma"/>
          <w:b/>
          <w:sz w:val="16"/>
          <w:szCs w:val="16"/>
        </w:rPr>
        <w:t>Dostęp do parametrów urządzenia z poziomu serwisanta (po upływie okresu gwarancji) - E</w:t>
      </w:r>
      <w:r w:rsidRPr="00887B3A">
        <w:rPr>
          <w:rFonts w:cs="Calibri"/>
          <w:b/>
          <w:bCs/>
          <w:sz w:val="16"/>
          <w:szCs w:val="16"/>
        </w:rPr>
        <w:t xml:space="preserve"> </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 xml:space="preserve">Punktacja: </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Pr>
          <w:rFonts w:cs="Tahoma"/>
          <w:b/>
          <w:sz w:val="16"/>
          <w:szCs w:val="16"/>
        </w:rPr>
        <w:t>TAK –15</w:t>
      </w:r>
      <w:r w:rsidRPr="00887B3A">
        <w:rPr>
          <w:rFonts w:cs="Tahoma"/>
          <w:b/>
          <w:sz w:val="16"/>
          <w:szCs w:val="16"/>
        </w:rPr>
        <w:t xml:space="preserve"> pkt</w:t>
      </w:r>
    </w:p>
    <w:p w:rsidR="00AB634A" w:rsidRPr="00887B3A" w:rsidRDefault="00AB634A" w:rsidP="004B05B7">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NIE – 0 pkt</w:t>
      </w:r>
    </w:p>
    <w:p w:rsidR="00AB634A" w:rsidRDefault="00AB634A" w:rsidP="004B05B7">
      <w:pPr>
        <w:pBdr>
          <w:top w:val="single" w:sz="4" w:space="1" w:color="auto"/>
          <w:left w:val="single" w:sz="4" w:space="4" w:color="auto"/>
          <w:bottom w:val="single" w:sz="4" w:space="1" w:color="auto"/>
          <w:right w:val="single" w:sz="4" w:space="4" w:color="auto"/>
        </w:pBdr>
        <w:rPr>
          <w:rFonts w:cs="Tahoma"/>
          <w:b/>
          <w:sz w:val="16"/>
          <w:szCs w:val="16"/>
        </w:rPr>
      </w:pPr>
      <w:r w:rsidRPr="00887B3A">
        <w:rPr>
          <w:rFonts w:cs="Tahoma"/>
          <w:b/>
          <w:sz w:val="16"/>
          <w:szCs w:val="16"/>
        </w:rPr>
        <w:t xml:space="preserve">4. kryterium – Okres </w:t>
      </w:r>
      <w:r w:rsidRPr="00887B3A">
        <w:rPr>
          <w:rFonts w:cs="Calibri"/>
          <w:b/>
          <w:bCs/>
          <w:sz w:val="16"/>
          <w:szCs w:val="16"/>
        </w:rPr>
        <w:t xml:space="preserve">gwarancji (F) </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 xml:space="preserve">Punktacja: </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sidRPr="00887B3A">
        <w:rPr>
          <w:rFonts w:cs="Tahoma"/>
          <w:b/>
          <w:sz w:val="16"/>
          <w:szCs w:val="16"/>
        </w:rPr>
        <w:t>12 miesięcy – 0 punktów ( minimalny wymagany okres gwarancji )</w:t>
      </w:r>
    </w:p>
    <w:p w:rsidR="00AB634A" w:rsidRPr="00887B3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Pr>
          <w:rFonts w:cs="Tahoma"/>
          <w:b/>
          <w:sz w:val="16"/>
          <w:szCs w:val="16"/>
        </w:rPr>
        <w:t>24 miesiące</w:t>
      </w:r>
      <w:r w:rsidRPr="00887B3A">
        <w:rPr>
          <w:rFonts w:cs="Tahoma"/>
          <w:b/>
          <w:sz w:val="16"/>
          <w:szCs w:val="16"/>
        </w:rPr>
        <w:t xml:space="preserve"> – </w:t>
      </w:r>
      <w:r>
        <w:rPr>
          <w:rFonts w:cs="Tahoma"/>
          <w:b/>
          <w:sz w:val="16"/>
          <w:szCs w:val="16"/>
        </w:rPr>
        <w:t>5 punktów</w:t>
      </w:r>
    </w:p>
    <w:p w:rsidR="00AB634A" w:rsidRPr="001905BA" w:rsidRDefault="00AB634A" w:rsidP="001905BA">
      <w:pPr>
        <w:pBdr>
          <w:top w:val="single" w:sz="4" w:space="1" w:color="auto"/>
          <w:left w:val="single" w:sz="4" w:space="4" w:color="auto"/>
          <w:bottom w:val="single" w:sz="4" w:space="1" w:color="auto"/>
          <w:right w:val="single" w:sz="4" w:space="4" w:color="auto"/>
        </w:pBdr>
        <w:ind w:firstLine="360"/>
        <w:rPr>
          <w:rFonts w:cs="Tahoma"/>
          <w:b/>
          <w:sz w:val="16"/>
          <w:szCs w:val="16"/>
        </w:rPr>
      </w:pPr>
      <w:r>
        <w:rPr>
          <w:rFonts w:cs="Tahoma"/>
          <w:b/>
          <w:sz w:val="16"/>
          <w:szCs w:val="16"/>
        </w:rPr>
        <w:t>36</w:t>
      </w:r>
      <w:r w:rsidRPr="00887B3A">
        <w:rPr>
          <w:rFonts w:cs="Tahoma"/>
          <w:b/>
          <w:sz w:val="16"/>
          <w:szCs w:val="16"/>
        </w:rPr>
        <w:t xml:space="preserve"> miesięcy – </w:t>
      </w:r>
      <w:r>
        <w:rPr>
          <w:rFonts w:cs="Tahoma"/>
          <w:b/>
          <w:sz w:val="16"/>
          <w:szCs w:val="16"/>
        </w:rPr>
        <w:t>10 punktów</w:t>
      </w:r>
    </w:p>
    <w:p w:rsidR="00AB634A" w:rsidRPr="00A251A3" w:rsidRDefault="00AB634A" w:rsidP="007E4718">
      <w:pPr>
        <w:rPr>
          <w:sz w:val="22"/>
        </w:rPr>
      </w:pPr>
      <w:r w:rsidRPr="00A251A3">
        <w:rPr>
          <w:sz w:val="22"/>
        </w:rPr>
        <w:t>W związku z niniejszą zmianą zmianie ulega również formularz ofertowy – zał. nr 4 do SWZ ( w załączeniu do niniejszego pisma )</w:t>
      </w:r>
    </w:p>
    <w:p w:rsidR="00AB634A" w:rsidRPr="00BD069D" w:rsidRDefault="00AB634A" w:rsidP="007E4718">
      <w:pPr>
        <w:rPr>
          <w:b/>
          <w:sz w:val="22"/>
        </w:rPr>
      </w:pPr>
      <w:r w:rsidRPr="00BD069D">
        <w:rPr>
          <w:b/>
          <w:sz w:val="22"/>
        </w:rPr>
        <w:t>6. Treść pytania:</w:t>
      </w:r>
    </w:p>
    <w:p w:rsidR="00AB634A" w:rsidRPr="00BD069D" w:rsidRDefault="00AB634A" w:rsidP="007E4718">
      <w:pPr>
        <w:rPr>
          <w:b/>
          <w:bCs/>
        </w:rPr>
      </w:pPr>
      <w:r w:rsidRPr="00A35DCB">
        <w:rPr>
          <w:b/>
          <w:bCs/>
        </w:rPr>
        <w:t>Dodatkowe punkty do umowy</w:t>
      </w:r>
    </w:p>
    <w:p w:rsidR="00AB634A" w:rsidRDefault="00AB634A" w:rsidP="007E4718">
      <w:r>
        <w:t>GWARANCJA:</w:t>
      </w:r>
    </w:p>
    <w:p w:rsidR="00AB634A" w:rsidRDefault="00AB634A" w:rsidP="007E4718">
      <w:r>
        <w:t>Sprzedający gwarantuje wydajność i właściwości dostarczonego towaru przez okres 12 miesięcy od momentu przejścia ryzyka, ale nie dłużej niż 14 miesięcy licząc od daty dokumentów przewozowych. Części zużywające się są wyłączone z gwarancji.</w:t>
      </w:r>
    </w:p>
    <w:p w:rsidR="00AB634A" w:rsidRDefault="00AB634A" w:rsidP="007E4718">
      <w:r>
        <w:t>Zakłada się, że Sprzedający stosuje w sposób ciągły spoiwa, utwardzacze i płyn czyszczący. Dostawy części zamiennych w ramach gwarancji odbywają się na zasadzie DAP miejsce przeznaczenia, pozostałe dostawy części zamiennych na zasadzie FCA z siedzibą dostawcy</w:t>
      </w:r>
    </w:p>
    <w:p w:rsidR="00AB634A" w:rsidRDefault="00AB634A" w:rsidP="007E4718">
      <w:r>
        <w:t>(Incoterms 2010).</w:t>
      </w:r>
    </w:p>
    <w:p w:rsidR="00AB634A" w:rsidRDefault="00AB634A" w:rsidP="007E4718">
      <w:r>
        <w:t>Szczególne uwagi:</w:t>
      </w:r>
    </w:p>
    <w:p w:rsidR="00AB634A" w:rsidRDefault="00AB634A" w:rsidP="007E4718">
      <w:r>
        <w:t>W okresie gwarancyjnym nie są wliczone w serwis gwarancyjny koszty importu (np. opłaty celne) części zamiennych; muszą one zostać pokryte przez Kupującego. Potwierdzony powyżej termin dostawy jest orientacyjny i uzależniony od uzyskania surowców i półfabrykatów w warunkach panujących w danym czasie. Zmiana tych warunków wymaga korekty terminów dostaw.</w:t>
      </w:r>
    </w:p>
    <w:p w:rsidR="00AB634A" w:rsidRDefault="00AB634A" w:rsidP="007E4718">
      <w:r>
        <w:t xml:space="preserve">Wszelkie gwarancje są wykluczone w szczególności w następujących przypadkach: </w:t>
      </w:r>
    </w:p>
    <w:p w:rsidR="00AB634A" w:rsidRDefault="00AB634A" w:rsidP="007E4718">
      <w:r>
        <w:t>Nieodpowiednie lub niefachowe użytkowanie, nieprawidłowa instalacja lub uruchomienie przez Kupującego lub osobę trzecią, naturalne zużycie, wadliwa lub niestaranna obsługa, konserwacja niezgodna ze specyfikacją, nieodpowieda konserwacja urządzenia, wadliwe prace budowlane, nieodpowiednie podłoże, wpływy substancji chemicznych, elektrochemicznych lub elektrycznych w zakresie, w jakim nie leżą one w zakresie odpowiedzialności Sprzedającego.</w:t>
      </w:r>
    </w:p>
    <w:p w:rsidR="00AB634A" w:rsidRDefault="00AB634A" w:rsidP="007E4718">
      <w:r>
        <w:t>ODPOWIEDZIALNOŚĆ I RYZYKO</w:t>
      </w:r>
    </w:p>
    <w:p w:rsidR="00AB634A" w:rsidRDefault="00AB634A" w:rsidP="007E4718">
      <w:r>
        <w:t>Sprzedający nie ponosi odpowiedzialności za szkody pośrednie, szkody następcze lub straty, jak np. utrata dochodu, utrata możliwości korzystania, przestoje w produkcji, koszty kapitałowe lub koszty, które są związane z przerwami w świadczeniu usług. Powyższe ograniczenie odpowiedzialności nie obowiązuje w przypadku umyślnego lub rażąco niedbałego naruszenia obowiązków. Ponadto ograniczenie odpowiedzialności nie dotyczy roszczeń z tytułu odpowiedzialności za produkt, jak również z tytułu możliwego do przypisania uszkodzenia ciała, zdrowia lub życia. Wyklucza się wszelkie szkody z tytułu zwłoki w dostawie.</w:t>
      </w:r>
    </w:p>
    <w:p w:rsidR="00AB634A" w:rsidRDefault="00AB634A" w:rsidP="007E4718">
      <w:r>
        <w:t>(a) Sprzedający nie ponosi odpowiedzialności za przydatność maszyny do zamierzonych przez Kupującego celów, chyba że cele te zostały określone w pisemnej treści umowy.</w:t>
      </w:r>
    </w:p>
    <w:p w:rsidR="00AB634A" w:rsidRDefault="00AB634A" w:rsidP="007E4718">
      <w:r>
        <w:t xml:space="preserve">(b) Sprzedający wyraźnie zwraca uwagę, że wyniki drukowania mogą zależeć od indywidualnych warunków środowiskowych w danej lokalizacji. W zależności od systemu zależy to od rodzaju, liczby, złożoności, wielkości, pojemności, różnorodności danych do druku i odpowiedniego wyposażenia skrzyni roboczej na proces drukowania. </w:t>
      </w:r>
    </w:p>
    <w:p w:rsidR="00AB634A" w:rsidRDefault="00AB634A" w:rsidP="007E4718">
      <w:r>
        <w:t xml:space="preserve">(c) Kupujący nie ma prawa do bezpłatnej optymalizacji parametrów drukarki dla poszczególnych zadań drukowania. Kupujący może po odbiorze zamówić opcjonalny produkt wspomagający precyzyjną regulację maszyny. </w:t>
      </w:r>
    </w:p>
    <w:p w:rsidR="00AB634A" w:rsidRDefault="00AB634A" w:rsidP="007E4718">
      <w:r>
        <w:t>(oferta oparta na czasie i nakładzie pracy).</w:t>
      </w:r>
    </w:p>
    <w:p w:rsidR="00AB634A" w:rsidRDefault="00AB634A" w:rsidP="007E4718">
      <w:r>
        <w:t>Koszty precyzyjnej regulacji wraz z użytymi materiałami eksploatacyjnymi ponosi Kupujący.</w:t>
      </w:r>
    </w:p>
    <w:p w:rsidR="00AB634A" w:rsidRDefault="00AB634A" w:rsidP="007E4718">
      <w:r>
        <w:t>(d) Czas trwania przygotowania zlecenia druku / przetwarzania danych może się różnić w zależności od złożoności zlecenia i wydajności komputera i dlatego nie może być dokładnie określony.</w:t>
      </w:r>
    </w:p>
    <w:p w:rsidR="00AB634A" w:rsidRDefault="00AB634A" w:rsidP="007E4718">
      <w:r>
        <w:t>(e) Sprzedający nie ponosi żadnej odpowiedzialności za szkody, które mogłyby powstać w wyniku niedostatecznego działania drukarki lub w wyniku nieprawidłowego działania zewnętrznego zasilacza UPS lub innych urządzeń, które nie zostały dostarczone przez Sprzedającego.</w:t>
      </w:r>
    </w:p>
    <w:p w:rsidR="00AB634A" w:rsidRDefault="00AB634A" w:rsidP="007E4718">
      <w:r>
        <w:t>Zgodnie z Art. 33 Europejskiego Rozporządzenia w sprawie rejestracji, oceny, udzielania zezwoleń i stosowanych ograniczeń w zakresie chemikaliów (REACH) niniejszym informujemy naszych klientów, że drukarki 3D i części zamienne dostarczane przez sprzedającego mogą zawierać ołów. Prosimy o przestrzeganie krajowych przepisów dotyczących postępowania z ołowiem i stopami ołowiu oraz ich utylizacji.</w:t>
      </w:r>
    </w:p>
    <w:p w:rsidR="00AB634A" w:rsidRDefault="00AB634A" w:rsidP="007E4718">
      <w:r>
        <w:t>O ile nie uzgodniono inaczej, ryzyko przechodzi na Zamawiającego w momencie opuszczenia przez towar zakładu Sprzedającego, również w przypadku dostaw częściowych lub gdy w drodze wyjątku Sprzedający przejął inne świadczenia, tj. przejęcie kosztów wysyłki, dostawy i montażu. Ryzyko przechodzi na Zamawiającego również w przypadku opóźnienia Zamawiającego w odbiorze.</w:t>
      </w:r>
    </w:p>
    <w:p w:rsidR="00AB634A" w:rsidRDefault="00AB634A" w:rsidP="007E4718">
      <w:r>
        <w:t>Świadczenia dodatkowe:</w:t>
      </w:r>
    </w:p>
    <w:p w:rsidR="00AB634A" w:rsidRDefault="00AB634A" w:rsidP="007E4718">
      <w:r>
        <w:t>O ile wyraźnie nie ustalono inaczej, Sprzedający nie jest zobowiązany do dodatkowych świadczeń poza przekazaniem/dostarczeniem maszyny. Jeżeli jednak takie świadczenia, w szczególności sugestie lub porady zostaną udzielone, to zgodnie z jego najlepszą wiedzą i bez przyjęcia gwarancji lub odpowiedzialności.</w:t>
      </w:r>
    </w:p>
    <w:p w:rsidR="00AB634A" w:rsidRDefault="00AB634A" w:rsidP="007E4718">
      <w:pPr>
        <w:rPr>
          <w:sz w:val="22"/>
        </w:rPr>
      </w:pPr>
      <w:r>
        <w:rPr>
          <w:b/>
          <w:sz w:val="22"/>
        </w:rPr>
        <w:t>Odpowiedź Zamawiającego</w:t>
      </w:r>
      <w:r w:rsidRPr="00BD069D">
        <w:rPr>
          <w:b/>
          <w:sz w:val="22"/>
        </w:rPr>
        <w:t>:</w:t>
      </w:r>
      <w:r>
        <w:rPr>
          <w:b/>
          <w:sz w:val="22"/>
        </w:rPr>
        <w:t xml:space="preserve"> </w:t>
      </w:r>
      <w:r w:rsidRPr="00CB4398">
        <w:rPr>
          <w:sz w:val="22"/>
        </w:rPr>
        <w:t xml:space="preserve">Zamawiający </w:t>
      </w:r>
      <w:r>
        <w:rPr>
          <w:sz w:val="22"/>
        </w:rPr>
        <w:t>podtrzymuje zapisy</w:t>
      </w:r>
      <w:r w:rsidRPr="00CB4398">
        <w:rPr>
          <w:sz w:val="22"/>
        </w:rPr>
        <w:t xml:space="preserve"> SWZ.</w:t>
      </w:r>
    </w:p>
    <w:p w:rsidR="00AB634A" w:rsidRPr="00CB4398" w:rsidRDefault="00AB634A" w:rsidP="007E4718">
      <w:pPr>
        <w:rPr>
          <w:sz w:val="22"/>
        </w:rPr>
      </w:pPr>
      <w:r>
        <w:rPr>
          <w:sz w:val="22"/>
        </w:rPr>
        <w:t>Zamawiający zdaje sobie sprawę z faktu, że przedmiot zamówienia może zawierać ołów i oczywiście będzie przestrzegał przepisy w tym zakresie.</w:t>
      </w:r>
    </w:p>
    <w:p w:rsidR="00AB634A" w:rsidRPr="00BD069D" w:rsidRDefault="00AB634A" w:rsidP="007E4718">
      <w:pPr>
        <w:rPr>
          <w:b/>
          <w:sz w:val="22"/>
        </w:rPr>
      </w:pPr>
      <w:r w:rsidRPr="00BD069D">
        <w:rPr>
          <w:b/>
          <w:sz w:val="22"/>
        </w:rPr>
        <w:t>7. Treść pytania:</w:t>
      </w:r>
    </w:p>
    <w:p w:rsidR="00AB634A" w:rsidRDefault="00AB634A" w:rsidP="007E4718">
      <w:r>
        <w:t>PRAWA WŁASNOŚCI PRZEMYSŁOWEJ OSÓB TRZECICH:</w:t>
      </w:r>
    </w:p>
    <w:p w:rsidR="00AB634A" w:rsidRDefault="00AB634A" w:rsidP="007E4718">
      <w:r>
        <w:t>Jeżeli użytkowanie przedmiotu dostawy prowadzi do naruszenia krajowych praw własności przemysłowej lub praw autorskich, Sprzedający na swój koszt zapewni Kupującemu podstawowe prawo do dalszego użytkowania lub zmodyfikuje przedmiot dostawy w sposób możliwy do zaakceptowania przez Kupującego w taki sposób, że naruszenie praw własności przemysłowej nie będzie już miało miejsca.</w:t>
      </w:r>
    </w:p>
    <w:p w:rsidR="00AB634A" w:rsidRDefault="00AB634A" w:rsidP="007E4718">
      <w:r>
        <w:t>Jeżeli nie jest to możliwe w warunkach opłacalności ekonomicznej lub w odpowiednim terminie, Kupujący jest uprawniony do odstąpienia od umowy. Pod wymienionymi warunkami Sprzedający ma również prawo do odstąpienia od Umowy.</w:t>
      </w:r>
    </w:p>
    <w:p w:rsidR="00AB634A" w:rsidRDefault="00AB634A" w:rsidP="007E4718">
      <w:r>
        <w:t>Ponadto Sprzedający zwolni Kupującego z bezspornych lub prawomocnie rozstrzygniętych roszczeń danego posiadacza praw własności przemysłowej.</w:t>
      </w:r>
    </w:p>
    <w:p w:rsidR="00AB634A" w:rsidRDefault="00AB634A" w:rsidP="007E4718">
      <w:r>
        <w:t>Podane zobowiązania Sprzedającego są, z zastrzeżeniem postanowień dotyczących odpowiedzialności zawartych w niniejszej Umowie, ostateczne w odniesieniu do naruszenia praw własności przemysłowej lub praw autorskich. Mają one zastosowanie tylko wtedy, gdy</w:t>
      </w:r>
    </w:p>
    <w:p w:rsidR="00AB634A" w:rsidRDefault="00AB634A" w:rsidP="007E4718">
      <w:r>
        <w:t>- Kupujący niezwłocznie powiadomi Sprzedającego o stwierdzonym naruszeniu praw własności przemysłowej lub praw autorskich, oraz</w:t>
      </w:r>
    </w:p>
    <w:p w:rsidR="00AB634A" w:rsidRDefault="00AB634A" w:rsidP="007E4718">
      <w:r>
        <w:t>- Kupujący odpowiednio wesprze Sprzedającego w kwestionowaniu zgłoszonych roszczeń i umożliwi mu zastosowanie środków modyfikujących opisanych powyżej, oraz</w:t>
      </w:r>
    </w:p>
    <w:p w:rsidR="00AB634A" w:rsidRDefault="00AB634A" w:rsidP="007E4718">
      <w:r>
        <w:t>- Sprzedający zachowuje wszelkie prawa do podjęcia środków w celu zakwestionowania roszczeń, w tym do pozasądowych uzgodnień, oraz</w:t>
      </w:r>
    </w:p>
    <w:p w:rsidR="00AB634A" w:rsidRDefault="00AB634A" w:rsidP="007E4718">
      <w:r>
        <w:t xml:space="preserve">- wada prawna nie wynika z dyspozycji Kupującego, oraz </w:t>
      </w:r>
    </w:p>
    <w:p w:rsidR="00AB634A" w:rsidRDefault="00AB634A" w:rsidP="007E4718">
      <w:r>
        <w:t xml:space="preserve">- naruszenie nie zostało spowodowane dokonaniem przez Kupującego zmiany przedmiotu dostawy bez upoważnienia i użyciem go w sposób sprzeczny z postanowieniami Umowy. </w:t>
      </w:r>
    </w:p>
    <w:p w:rsidR="00AB634A" w:rsidRDefault="00AB634A" w:rsidP="007E4718">
      <w:r>
        <w:t>ZASTRZEŻENIE WŁASNOŚCI</w:t>
      </w:r>
    </w:p>
    <w:p w:rsidR="00AB634A" w:rsidRDefault="00AB634A" w:rsidP="007E4718">
      <w:r>
        <w:t>Sprzedający zachowuje prawo własności przedmiotu dostawy do momentu otrzymania wszystkich płatności wynikających z umowy dostawy.</w:t>
      </w:r>
    </w:p>
    <w:p w:rsidR="00AB634A" w:rsidRDefault="00AB634A" w:rsidP="005D3706">
      <w:pPr>
        <w:rPr>
          <w:sz w:val="22"/>
        </w:rPr>
      </w:pPr>
      <w:r>
        <w:rPr>
          <w:b/>
          <w:sz w:val="22"/>
        </w:rPr>
        <w:t>Odpowiedź Zamawiającego</w:t>
      </w:r>
      <w:r w:rsidRPr="00BD069D">
        <w:rPr>
          <w:b/>
          <w:sz w:val="22"/>
        </w:rPr>
        <w:t>:</w:t>
      </w:r>
      <w:r>
        <w:rPr>
          <w:b/>
          <w:sz w:val="22"/>
        </w:rPr>
        <w:t xml:space="preserve"> </w:t>
      </w:r>
      <w:r w:rsidRPr="00CB4398">
        <w:rPr>
          <w:sz w:val="22"/>
        </w:rPr>
        <w:t xml:space="preserve">Zamawiający </w:t>
      </w:r>
      <w:r>
        <w:rPr>
          <w:sz w:val="22"/>
        </w:rPr>
        <w:t>podtrzymuje zapisy</w:t>
      </w:r>
      <w:r w:rsidRPr="00CB4398">
        <w:rPr>
          <w:sz w:val="22"/>
        </w:rPr>
        <w:t xml:space="preserve"> SWZ.</w:t>
      </w:r>
    </w:p>
    <w:p w:rsidR="00AB634A" w:rsidRPr="0030701C" w:rsidRDefault="00AB634A" w:rsidP="005D3706">
      <w:pPr>
        <w:rPr>
          <w:szCs w:val="20"/>
        </w:rPr>
      </w:pPr>
      <w:r w:rsidRPr="0030701C">
        <w:rPr>
          <w:szCs w:val="20"/>
        </w:rPr>
        <w:t>Jednocześnie zamawiający informuje, że wykonawca zadający pytania zamieścił również dodatkowy plik na którym część pytań jest przekreślona. Ponieważ plik nie zawiera jasnej informacji czy wykonawca całkowicie rezygnuje z tych pytań czy jedynie wskazuje które z nich mają charakter priorytetowy Zamawiający udzielił</w:t>
      </w:r>
      <w:r>
        <w:rPr>
          <w:szCs w:val="20"/>
        </w:rPr>
        <w:t xml:space="preserve"> odpowiedzi na wszystkie pierwotnie zadane pytania.</w:t>
      </w:r>
    </w:p>
    <w:p w:rsidR="00AB634A" w:rsidRDefault="00AB634A" w:rsidP="005D3706">
      <w:pPr>
        <w:rPr>
          <w:b/>
          <w:sz w:val="22"/>
        </w:rPr>
      </w:pPr>
      <w:r>
        <w:rPr>
          <w:b/>
          <w:sz w:val="22"/>
        </w:rPr>
        <w:t>Zamawiający na podstawie art. 137 ustawy Prawo zamówień publicznych dokonuje modyfikacji SWZ w zakresie Załącznika nr 3. Nowy aktualnie obowiązujący Załącznik nr 3 w załączeniu.</w:t>
      </w:r>
    </w:p>
    <w:p w:rsidR="00AB634A" w:rsidRDefault="00AB634A" w:rsidP="00374A85">
      <w:pPr>
        <w:rPr>
          <w:b/>
          <w:sz w:val="22"/>
        </w:rPr>
      </w:pPr>
      <w:r>
        <w:rPr>
          <w:b/>
          <w:sz w:val="22"/>
        </w:rPr>
        <w:t>W związku z pytaniem nr 5 oraz modyfikacją SWZ w tym zakresie zmianie ulega również załącznik nr 4. Nowy aktualnie obowiązujący Załącznik nr 4 w załączeniu.</w:t>
      </w:r>
    </w:p>
    <w:p w:rsidR="00AB634A" w:rsidRDefault="00AB634A" w:rsidP="007E4718"/>
    <w:p w:rsidR="00AB634A" w:rsidRPr="00C25B63" w:rsidRDefault="00AB634A" w:rsidP="000D4B95">
      <w:pPr>
        <w:ind w:left="360"/>
        <w:rPr>
          <w:color w:val="auto"/>
          <w:sz w:val="24"/>
          <w:szCs w:val="24"/>
        </w:rPr>
      </w:pPr>
    </w:p>
    <w:p w:rsidR="00AB634A" w:rsidRPr="00C237DF" w:rsidRDefault="00AB634A" w:rsidP="004F2E56">
      <w:pPr>
        <w:rPr>
          <w:szCs w:val="20"/>
        </w:rPr>
      </w:pPr>
    </w:p>
    <w:sectPr w:rsidR="00AB634A" w:rsidRPr="00C237DF" w:rsidSect="00DA52A1">
      <w:footerReference w:type="default" r:id="rId8"/>
      <w:headerReference w:type="first" r:id="rId9"/>
      <w:footerReference w:type="first" r:id="rId10"/>
      <w:pgSz w:w="11906" w:h="16838" w:code="9"/>
      <w:pgMar w:top="2325" w:right="1021" w:bottom="2155" w:left="2722" w:header="709" w:footer="1247"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34A" w:rsidRDefault="00AB634A" w:rsidP="006747BD">
      <w:pPr>
        <w:spacing w:after="0" w:line="240" w:lineRule="auto"/>
      </w:pPr>
      <w:r>
        <w:separator/>
      </w:r>
    </w:p>
  </w:endnote>
  <w:endnote w:type="continuationSeparator" w:id="0">
    <w:p w:rsidR="00AB634A" w:rsidRDefault="00AB634A"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4A" w:rsidRPr="00116150" w:rsidRDefault="00AB634A">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10</w:t>
    </w:r>
    <w:r w:rsidRPr="00116150">
      <w:rPr>
        <w:bCs/>
        <w:sz w:val="16"/>
        <w:szCs w:val="16"/>
      </w:rPr>
      <w:fldChar w:fldCharType="end"/>
    </w:r>
  </w:p>
  <w:p w:rsidR="00AB634A" w:rsidRDefault="00AB634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AB634A" w:rsidRDefault="00AB634A" w:rsidP="007E4718">
                <w:pPr>
                  <w:pStyle w:val="LukStopka-adres"/>
                  <w:jc w:val="both"/>
                </w:pPr>
                <w:r>
                  <w:t xml:space="preserve">Sieć Badawcza Łukasiewicz </w:t>
                </w:r>
                <w:r>
                  <w:sym w:font="Symbol" w:char="F02D"/>
                </w:r>
                <w:r>
                  <w:t xml:space="preserve"> Krakowski Instytut Technologiczny</w:t>
                </w:r>
              </w:p>
              <w:p w:rsidR="00AB634A" w:rsidRDefault="00AB634A" w:rsidP="007E4718">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B634A" w:rsidRPr="006F6504" w:rsidRDefault="00AB634A" w:rsidP="007E4718">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AB634A" w:rsidRDefault="00AB634A" w:rsidP="007E4718">
                <w:pPr>
                  <w:pStyle w:val="LukStopka-adres"/>
                  <w:jc w:val="both"/>
                </w:pPr>
                <w:r>
                  <w:t xml:space="preserve">Sąd Rejonowy w Krakowie, XI Wydz. Gospodarczy KRS nr </w:t>
                </w:r>
                <w:r w:rsidRPr="0056264F">
                  <w:t>0000861401</w:t>
                </w:r>
              </w:p>
              <w:p w:rsidR="00AB634A" w:rsidRDefault="00AB634A" w:rsidP="00DA52A1">
                <w:pPr>
                  <w:pStyle w:val="LukStopka-adres"/>
                </w:pPr>
              </w:p>
              <w:p w:rsidR="00AB634A" w:rsidRPr="004F5805" w:rsidRDefault="00AB634A"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AB634A" w:rsidRPr="00DA52A1" w:rsidRDefault="00AB634A"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4A" w:rsidRPr="00116150" w:rsidRDefault="00AB634A"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10</w:t>
    </w:r>
    <w:r w:rsidRPr="00116150">
      <w:rPr>
        <w:sz w:val="16"/>
        <w:szCs w:val="16"/>
      </w:rPr>
      <w:fldChar w:fldCharType="end"/>
    </w:r>
  </w:p>
  <w:p w:rsidR="00AB634A" w:rsidRPr="00D06D36" w:rsidRDefault="00AB634A"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AB634A" w:rsidRPr="00DA52A1" w:rsidRDefault="00AB634A"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AB634A" w:rsidRDefault="00AB634A" w:rsidP="00302E45">
                <w:pPr>
                  <w:pStyle w:val="LukStopka-adres"/>
                  <w:jc w:val="both"/>
                </w:pPr>
                <w:r>
                  <w:t xml:space="preserve">Sieć Badawcza Łukasiewicz </w:t>
                </w:r>
                <w:r>
                  <w:sym w:font="Symbol" w:char="F02D"/>
                </w:r>
                <w:r>
                  <w:t xml:space="preserve"> Krakowski Instytut Technologiczny</w:t>
                </w:r>
              </w:p>
              <w:p w:rsidR="00AB634A" w:rsidRDefault="00AB634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B634A" w:rsidRPr="006F6504" w:rsidRDefault="00AB634A"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AB634A" w:rsidRDefault="00AB634A" w:rsidP="00302E45">
                <w:pPr>
                  <w:pStyle w:val="LukStopka-adres"/>
                  <w:jc w:val="both"/>
                </w:pPr>
                <w:r>
                  <w:t xml:space="preserve">Sąd Rejonowy w Krakowie, XI Wydz. Gospodarczy KRS nr </w:t>
                </w:r>
                <w:r w:rsidRPr="0056264F">
                  <w:t>0000861401</w:t>
                </w:r>
              </w:p>
              <w:p w:rsidR="00AB634A" w:rsidRPr="004F5805" w:rsidRDefault="00AB634A"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34A" w:rsidRDefault="00AB634A" w:rsidP="006747BD">
      <w:pPr>
        <w:spacing w:after="0" w:line="240" w:lineRule="auto"/>
      </w:pPr>
      <w:r>
        <w:separator/>
      </w:r>
    </w:p>
  </w:footnote>
  <w:footnote w:type="continuationSeparator" w:id="0">
    <w:p w:rsidR="00AB634A" w:rsidRDefault="00AB634A"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4A" w:rsidRPr="00DA52A1" w:rsidRDefault="00AB634A">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5742351B"/>
    <w:multiLevelType w:val="hybridMultilevel"/>
    <w:tmpl w:val="B3D476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7BB0"/>
    <w:rsid w:val="00014150"/>
    <w:rsid w:val="00017AD2"/>
    <w:rsid w:val="00021C7E"/>
    <w:rsid w:val="00024D9E"/>
    <w:rsid w:val="00032947"/>
    <w:rsid w:val="00045055"/>
    <w:rsid w:val="00054E08"/>
    <w:rsid w:val="00060352"/>
    <w:rsid w:val="00070438"/>
    <w:rsid w:val="00070AF6"/>
    <w:rsid w:val="00070F40"/>
    <w:rsid w:val="000720F3"/>
    <w:rsid w:val="00077647"/>
    <w:rsid w:val="000845FF"/>
    <w:rsid w:val="00085A13"/>
    <w:rsid w:val="00086715"/>
    <w:rsid w:val="00086AA7"/>
    <w:rsid w:val="00087367"/>
    <w:rsid w:val="000906A6"/>
    <w:rsid w:val="00092756"/>
    <w:rsid w:val="00096CE1"/>
    <w:rsid w:val="000B237C"/>
    <w:rsid w:val="000C4245"/>
    <w:rsid w:val="000C4943"/>
    <w:rsid w:val="000D3DC2"/>
    <w:rsid w:val="000D4B95"/>
    <w:rsid w:val="000E1369"/>
    <w:rsid w:val="000E4380"/>
    <w:rsid w:val="000F6162"/>
    <w:rsid w:val="0010143C"/>
    <w:rsid w:val="00103BB5"/>
    <w:rsid w:val="00116150"/>
    <w:rsid w:val="00120352"/>
    <w:rsid w:val="00132514"/>
    <w:rsid w:val="00132619"/>
    <w:rsid w:val="00132A2B"/>
    <w:rsid w:val="00136E80"/>
    <w:rsid w:val="00140A18"/>
    <w:rsid w:val="0016543D"/>
    <w:rsid w:val="001905BA"/>
    <w:rsid w:val="00190789"/>
    <w:rsid w:val="001B3817"/>
    <w:rsid w:val="001B5D54"/>
    <w:rsid w:val="001D73D8"/>
    <w:rsid w:val="001E6898"/>
    <w:rsid w:val="00201469"/>
    <w:rsid w:val="0021554B"/>
    <w:rsid w:val="00223B66"/>
    <w:rsid w:val="00231524"/>
    <w:rsid w:val="002334C9"/>
    <w:rsid w:val="002446BD"/>
    <w:rsid w:val="002601AC"/>
    <w:rsid w:val="0026651B"/>
    <w:rsid w:val="00284141"/>
    <w:rsid w:val="00294FA6"/>
    <w:rsid w:val="002A1040"/>
    <w:rsid w:val="002A50A4"/>
    <w:rsid w:val="002B3E06"/>
    <w:rsid w:val="002B69F3"/>
    <w:rsid w:val="002B79E5"/>
    <w:rsid w:val="002C0C2A"/>
    <w:rsid w:val="002C2CFD"/>
    <w:rsid w:val="002C5258"/>
    <w:rsid w:val="002D290E"/>
    <w:rsid w:val="002D36D4"/>
    <w:rsid w:val="002D48BE"/>
    <w:rsid w:val="002D728C"/>
    <w:rsid w:val="002E207B"/>
    <w:rsid w:val="002F03E3"/>
    <w:rsid w:val="002F104C"/>
    <w:rsid w:val="002F3EFE"/>
    <w:rsid w:val="002F4540"/>
    <w:rsid w:val="002F5842"/>
    <w:rsid w:val="00300F08"/>
    <w:rsid w:val="00302E45"/>
    <w:rsid w:val="0030701C"/>
    <w:rsid w:val="0031188D"/>
    <w:rsid w:val="00331259"/>
    <w:rsid w:val="00335F9F"/>
    <w:rsid w:val="00346C00"/>
    <w:rsid w:val="00354A18"/>
    <w:rsid w:val="00355E33"/>
    <w:rsid w:val="00374A85"/>
    <w:rsid w:val="0037609C"/>
    <w:rsid w:val="00380A63"/>
    <w:rsid w:val="00383EC7"/>
    <w:rsid w:val="00384C19"/>
    <w:rsid w:val="00385ED8"/>
    <w:rsid w:val="003923AA"/>
    <w:rsid w:val="003B14A0"/>
    <w:rsid w:val="003F071F"/>
    <w:rsid w:val="003F4BA3"/>
    <w:rsid w:val="00405BBD"/>
    <w:rsid w:val="0042761C"/>
    <w:rsid w:val="0044604F"/>
    <w:rsid w:val="00451979"/>
    <w:rsid w:val="00490026"/>
    <w:rsid w:val="004B05B7"/>
    <w:rsid w:val="004C0E46"/>
    <w:rsid w:val="004E0647"/>
    <w:rsid w:val="004E5D35"/>
    <w:rsid w:val="004E7469"/>
    <w:rsid w:val="004F2E56"/>
    <w:rsid w:val="004F38F9"/>
    <w:rsid w:val="004F5805"/>
    <w:rsid w:val="0050770A"/>
    <w:rsid w:val="00520FE0"/>
    <w:rsid w:val="00523118"/>
    <w:rsid w:val="00526CDD"/>
    <w:rsid w:val="0056264F"/>
    <w:rsid w:val="00581293"/>
    <w:rsid w:val="00593480"/>
    <w:rsid w:val="005C16E4"/>
    <w:rsid w:val="005C51FF"/>
    <w:rsid w:val="005D1495"/>
    <w:rsid w:val="005D3706"/>
    <w:rsid w:val="005E7191"/>
    <w:rsid w:val="005F0C2E"/>
    <w:rsid w:val="0060638F"/>
    <w:rsid w:val="00610566"/>
    <w:rsid w:val="00615756"/>
    <w:rsid w:val="00631D27"/>
    <w:rsid w:val="006479F9"/>
    <w:rsid w:val="006747BD"/>
    <w:rsid w:val="00675DBF"/>
    <w:rsid w:val="00694332"/>
    <w:rsid w:val="006A1703"/>
    <w:rsid w:val="006A398C"/>
    <w:rsid w:val="006B28B0"/>
    <w:rsid w:val="006C3AB5"/>
    <w:rsid w:val="006D6DE5"/>
    <w:rsid w:val="006E0AF5"/>
    <w:rsid w:val="006E0D96"/>
    <w:rsid w:val="006E5990"/>
    <w:rsid w:val="006F6504"/>
    <w:rsid w:val="006F7914"/>
    <w:rsid w:val="00727272"/>
    <w:rsid w:val="00737681"/>
    <w:rsid w:val="00743EAB"/>
    <w:rsid w:val="00760DA3"/>
    <w:rsid w:val="00790000"/>
    <w:rsid w:val="007B7BFC"/>
    <w:rsid w:val="007D026E"/>
    <w:rsid w:val="007D19FC"/>
    <w:rsid w:val="007D2BF1"/>
    <w:rsid w:val="007E0894"/>
    <w:rsid w:val="007E4718"/>
    <w:rsid w:val="007E6C72"/>
    <w:rsid w:val="007F5E82"/>
    <w:rsid w:val="008046E0"/>
    <w:rsid w:val="00805143"/>
    <w:rsid w:val="00805DF6"/>
    <w:rsid w:val="0081697B"/>
    <w:rsid w:val="0082136E"/>
    <w:rsid w:val="00821F16"/>
    <w:rsid w:val="00824EAB"/>
    <w:rsid w:val="008368C0"/>
    <w:rsid w:val="0084066F"/>
    <w:rsid w:val="0084396A"/>
    <w:rsid w:val="00854B7B"/>
    <w:rsid w:val="008861AF"/>
    <w:rsid w:val="00887B3A"/>
    <w:rsid w:val="008B6296"/>
    <w:rsid w:val="008C1729"/>
    <w:rsid w:val="008C42DA"/>
    <w:rsid w:val="008C75DD"/>
    <w:rsid w:val="008E6355"/>
    <w:rsid w:val="008F209D"/>
    <w:rsid w:val="00907C4D"/>
    <w:rsid w:val="009227D1"/>
    <w:rsid w:val="0093352C"/>
    <w:rsid w:val="00936BFF"/>
    <w:rsid w:val="009569A9"/>
    <w:rsid w:val="009571E2"/>
    <w:rsid w:val="009743FE"/>
    <w:rsid w:val="009A159F"/>
    <w:rsid w:val="009C0C7D"/>
    <w:rsid w:val="009C3DE5"/>
    <w:rsid w:val="009D4C4D"/>
    <w:rsid w:val="009E02ED"/>
    <w:rsid w:val="00A01A55"/>
    <w:rsid w:val="00A03363"/>
    <w:rsid w:val="00A24163"/>
    <w:rsid w:val="00A251A3"/>
    <w:rsid w:val="00A35DCB"/>
    <w:rsid w:val="00A36F46"/>
    <w:rsid w:val="00A43BE9"/>
    <w:rsid w:val="00A52C29"/>
    <w:rsid w:val="00A772EC"/>
    <w:rsid w:val="00A84568"/>
    <w:rsid w:val="00A90291"/>
    <w:rsid w:val="00AA7930"/>
    <w:rsid w:val="00AB634A"/>
    <w:rsid w:val="00AB6E03"/>
    <w:rsid w:val="00AC0436"/>
    <w:rsid w:val="00AC10E0"/>
    <w:rsid w:val="00AD68BC"/>
    <w:rsid w:val="00AD73A3"/>
    <w:rsid w:val="00AE1E8F"/>
    <w:rsid w:val="00B075B5"/>
    <w:rsid w:val="00B17A0C"/>
    <w:rsid w:val="00B23FC5"/>
    <w:rsid w:val="00B26809"/>
    <w:rsid w:val="00B32828"/>
    <w:rsid w:val="00B33584"/>
    <w:rsid w:val="00B47F9C"/>
    <w:rsid w:val="00B61F8A"/>
    <w:rsid w:val="00B66B6C"/>
    <w:rsid w:val="00BA692A"/>
    <w:rsid w:val="00BD069D"/>
    <w:rsid w:val="00BE0950"/>
    <w:rsid w:val="00C172B5"/>
    <w:rsid w:val="00C22B4F"/>
    <w:rsid w:val="00C237DF"/>
    <w:rsid w:val="00C25B63"/>
    <w:rsid w:val="00C326F2"/>
    <w:rsid w:val="00C35769"/>
    <w:rsid w:val="00C41ED0"/>
    <w:rsid w:val="00C526D4"/>
    <w:rsid w:val="00C5479B"/>
    <w:rsid w:val="00C736D5"/>
    <w:rsid w:val="00C74743"/>
    <w:rsid w:val="00C92262"/>
    <w:rsid w:val="00C96D7D"/>
    <w:rsid w:val="00CB4398"/>
    <w:rsid w:val="00CC3F90"/>
    <w:rsid w:val="00CE181B"/>
    <w:rsid w:val="00CF31A2"/>
    <w:rsid w:val="00CF7729"/>
    <w:rsid w:val="00D005B3"/>
    <w:rsid w:val="00D049B9"/>
    <w:rsid w:val="00D06D36"/>
    <w:rsid w:val="00D229C6"/>
    <w:rsid w:val="00D40690"/>
    <w:rsid w:val="00D448AE"/>
    <w:rsid w:val="00D515B3"/>
    <w:rsid w:val="00D77B77"/>
    <w:rsid w:val="00D86C98"/>
    <w:rsid w:val="00DA52A1"/>
    <w:rsid w:val="00DE4214"/>
    <w:rsid w:val="00E04F6B"/>
    <w:rsid w:val="00E14103"/>
    <w:rsid w:val="00E2237D"/>
    <w:rsid w:val="00E37C7D"/>
    <w:rsid w:val="00E46107"/>
    <w:rsid w:val="00E50A03"/>
    <w:rsid w:val="00E6291F"/>
    <w:rsid w:val="00E719F1"/>
    <w:rsid w:val="00E72002"/>
    <w:rsid w:val="00E73CCA"/>
    <w:rsid w:val="00E7660E"/>
    <w:rsid w:val="00E900F7"/>
    <w:rsid w:val="00EA3AE2"/>
    <w:rsid w:val="00EA4D34"/>
    <w:rsid w:val="00EB65BF"/>
    <w:rsid w:val="00ED1485"/>
    <w:rsid w:val="00ED3725"/>
    <w:rsid w:val="00EE1E11"/>
    <w:rsid w:val="00EE493C"/>
    <w:rsid w:val="00EF1EA3"/>
    <w:rsid w:val="00EF68CE"/>
    <w:rsid w:val="00F026E0"/>
    <w:rsid w:val="00F27386"/>
    <w:rsid w:val="00F27EB8"/>
    <w:rsid w:val="00F30D18"/>
    <w:rsid w:val="00F35292"/>
    <w:rsid w:val="00F4550C"/>
    <w:rsid w:val="00F5418A"/>
    <w:rsid w:val="00F67D23"/>
    <w:rsid w:val="00F7644E"/>
    <w:rsid w:val="00F8284D"/>
    <w:rsid w:val="00F84607"/>
    <w:rsid w:val="00FB7773"/>
    <w:rsid w:val="00FD7AED"/>
    <w:rsid w:val="00FF362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905B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character" w:customStyle="1" w:styleId="Heading4Char">
    <w:name w:val="Heading 4 Char"/>
    <w:basedOn w:val="DefaultParagraphFont"/>
    <w:link w:val="Heading4"/>
    <w:uiPriority w:val="99"/>
    <w:semiHidden/>
    <w:locked/>
    <w:rsid w:val="00FF3620"/>
    <w:rPr>
      <w:rFonts w:ascii="Calibri" w:hAnsi="Calibri" w:cs="Times New Roman"/>
      <w:b/>
      <w:bCs/>
      <w:color w:val="000000"/>
      <w:spacing w:val="4"/>
      <w:sz w:val="28"/>
      <w:szCs w:val="28"/>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907C4D"/>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082436880">
      <w:marLeft w:val="0"/>
      <w:marRight w:val="0"/>
      <w:marTop w:val="0"/>
      <w:marBottom w:val="0"/>
      <w:divBdr>
        <w:top w:val="none" w:sz="0" w:space="0" w:color="auto"/>
        <w:left w:val="none" w:sz="0" w:space="0" w:color="auto"/>
        <w:bottom w:val="none" w:sz="0" w:space="0" w:color="auto"/>
        <w:right w:val="none" w:sz="0" w:space="0" w:color="auto"/>
      </w:divBdr>
    </w:div>
    <w:div w:id="2082436881">
      <w:marLeft w:val="0"/>
      <w:marRight w:val="0"/>
      <w:marTop w:val="0"/>
      <w:marBottom w:val="0"/>
      <w:divBdr>
        <w:top w:val="none" w:sz="0" w:space="0" w:color="auto"/>
        <w:left w:val="none" w:sz="0" w:space="0" w:color="auto"/>
        <w:bottom w:val="none" w:sz="0" w:space="0" w:color="auto"/>
        <w:right w:val="none" w:sz="0" w:space="0" w:color="auto"/>
      </w:divBdr>
    </w:div>
    <w:div w:id="2082436882">
      <w:marLeft w:val="0"/>
      <w:marRight w:val="0"/>
      <w:marTop w:val="0"/>
      <w:marBottom w:val="0"/>
      <w:divBdr>
        <w:top w:val="none" w:sz="0" w:space="0" w:color="auto"/>
        <w:left w:val="none" w:sz="0" w:space="0" w:color="auto"/>
        <w:bottom w:val="none" w:sz="0" w:space="0" w:color="auto"/>
        <w:right w:val="none" w:sz="0" w:space="0" w:color="auto"/>
      </w:divBdr>
    </w:div>
    <w:div w:id="2082436883">
      <w:marLeft w:val="0"/>
      <w:marRight w:val="0"/>
      <w:marTop w:val="0"/>
      <w:marBottom w:val="0"/>
      <w:divBdr>
        <w:top w:val="none" w:sz="0" w:space="0" w:color="auto"/>
        <w:left w:val="none" w:sz="0" w:space="0" w:color="auto"/>
        <w:bottom w:val="none" w:sz="0" w:space="0" w:color="auto"/>
        <w:right w:val="none" w:sz="0" w:space="0" w:color="auto"/>
      </w:divBdr>
    </w:div>
    <w:div w:id="2082436884">
      <w:marLeft w:val="0"/>
      <w:marRight w:val="0"/>
      <w:marTop w:val="0"/>
      <w:marBottom w:val="0"/>
      <w:divBdr>
        <w:top w:val="none" w:sz="0" w:space="0" w:color="auto"/>
        <w:left w:val="none" w:sz="0" w:space="0" w:color="auto"/>
        <w:bottom w:val="none" w:sz="0" w:space="0" w:color="auto"/>
        <w:right w:val="none" w:sz="0" w:space="0" w:color="auto"/>
      </w:divBdr>
    </w:div>
    <w:div w:id="2082436885">
      <w:marLeft w:val="0"/>
      <w:marRight w:val="0"/>
      <w:marTop w:val="0"/>
      <w:marBottom w:val="0"/>
      <w:divBdr>
        <w:top w:val="none" w:sz="0" w:space="0" w:color="auto"/>
        <w:left w:val="none" w:sz="0" w:space="0" w:color="auto"/>
        <w:bottom w:val="none" w:sz="0" w:space="0" w:color="auto"/>
        <w:right w:val="none" w:sz="0" w:space="0" w:color="auto"/>
      </w:divBdr>
    </w:div>
    <w:div w:id="2082436888">
      <w:marLeft w:val="0"/>
      <w:marRight w:val="0"/>
      <w:marTop w:val="0"/>
      <w:marBottom w:val="0"/>
      <w:divBdr>
        <w:top w:val="none" w:sz="0" w:space="0" w:color="auto"/>
        <w:left w:val="none" w:sz="0" w:space="0" w:color="auto"/>
        <w:bottom w:val="none" w:sz="0" w:space="0" w:color="auto"/>
        <w:right w:val="none" w:sz="0" w:space="0" w:color="auto"/>
      </w:divBdr>
      <w:divsChild>
        <w:div w:id="2082436890">
          <w:marLeft w:val="0"/>
          <w:marRight w:val="0"/>
          <w:marTop w:val="0"/>
          <w:marBottom w:val="0"/>
          <w:divBdr>
            <w:top w:val="none" w:sz="0" w:space="0" w:color="auto"/>
            <w:left w:val="none" w:sz="0" w:space="0" w:color="auto"/>
            <w:bottom w:val="none" w:sz="0" w:space="0" w:color="auto"/>
            <w:right w:val="none" w:sz="0" w:space="0" w:color="auto"/>
          </w:divBdr>
        </w:div>
      </w:divsChild>
    </w:div>
    <w:div w:id="2082436889">
      <w:marLeft w:val="0"/>
      <w:marRight w:val="0"/>
      <w:marTop w:val="0"/>
      <w:marBottom w:val="0"/>
      <w:divBdr>
        <w:top w:val="none" w:sz="0" w:space="0" w:color="auto"/>
        <w:left w:val="none" w:sz="0" w:space="0" w:color="auto"/>
        <w:bottom w:val="none" w:sz="0" w:space="0" w:color="auto"/>
        <w:right w:val="none" w:sz="0" w:space="0" w:color="auto"/>
      </w:divBdr>
      <w:divsChild>
        <w:div w:id="2082436887">
          <w:marLeft w:val="0"/>
          <w:marRight w:val="0"/>
          <w:marTop w:val="0"/>
          <w:marBottom w:val="0"/>
          <w:divBdr>
            <w:top w:val="none" w:sz="0" w:space="0" w:color="auto"/>
            <w:left w:val="none" w:sz="0" w:space="0" w:color="auto"/>
            <w:bottom w:val="none" w:sz="0" w:space="0" w:color="auto"/>
            <w:right w:val="none" w:sz="0" w:space="0" w:color="auto"/>
          </w:divBdr>
        </w:div>
      </w:divsChild>
    </w:div>
    <w:div w:id="2082436892">
      <w:marLeft w:val="0"/>
      <w:marRight w:val="0"/>
      <w:marTop w:val="0"/>
      <w:marBottom w:val="0"/>
      <w:divBdr>
        <w:top w:val="none" w:sz="0" w:space="0" w:color="auto"/>
        <w:left w:val="none" w:sz="0" w:space="0" w:color="auto"/>
        <w:bottom w:val="none" w:sz="0" w:space="0" w:color="auto"/>
        <w:right w:val="none" w:sz="0" w:space="0" w:color="auto"/>
      </w:divBdr>
      <w:divsChild>
        <w:div w:id="2082436886">
          <w:marLeft w:val="0"/>
          <w:marRight w:val="0"/>
          <w:marTop w:val="0"/>
          <w:marBottom w:val="0"/>
          <w:divBdr>
            <w:top w:val="none" w:sz="0" w:space="0" w:color="auto"/>
            <w:left w:val="none" w:sz="0" w:space="0" w:color="auto"/>
            <w:bottom w:val="none" w:sz="0" w:space="0" w:color="auto"/>
            <w:right w:val="none" w:sz="0" w:space="0" w:color="auto"/>
          </w:divBdr>
        </w:div>
      </w:divsChild>
    </w:div>
    <w:div w:id="2082436893">
      <w:marLeft w:val="0"/>
      <w:marRight w:val="0"/>
      <w:marTop w:val="0"/>
      <w:marBottom w:val="0"/>
      <w:divBdr>
        <w:top w:val="none" w:sz="0" w:space="0" w:color="auto"/>
        <w:left w:val="none" w:sz="0" w:space="0" w:color="auto"/>
        <w:bottom w:val="none" w:sz="0" w:space="0" w:color="auto"/>
        <w:right w:val="none" w:sz="0" w:space="0" w:color="auto"/>
      </w:divBdr>
      <w:divsChild>
        <w:div w:id="2082436891">
          <w:marLeft w:val="0"/>
          <w:marRight w:val="0"/>
          <w:marTop w:val="0"/>
          <w:marBottom w:val="0"/>
          <w:divBdr>
            <w:top w:val="none" w:sz="0" w:space="0" w:color="auto"/>
            <w:left w:val="none" w:sz="0" w:space="0" w:color="auto"/>
            <w:bottom w:val="none" w:sz="0" w:space="0" w:color="auto"/>
            <w:right w:val="none" w:sz="0" w:space="0" w:color="auto"/>
          </w:divBdr>
        </w:div>
      </w:divsChild>
    </w:div>
    <w:div w:id="2082436894">
      <w:marLeft w:val="0"/>
      <w:marRight w:val="0"/>
      <w:marTop w:val="0"/>
      <w:marBottom w:val="0"/>
      <w:divBdr>
        <w:top w:val="none" w:sz="0" w:space="0" w:color="auto"/>
        <w:left w:val="none" w:sz="0" w:space="0" w:color="auto"/>
        <w:bottom w:val="none" w:sz="0" w:space="0" w:color="auto"/>
        <w:right w:val="none" w:sz="0" w:space="0" w:color="auto"/>
      </w:divBdr>
    </w:div>
    <w:div w:id="2082436895">
      <w:marLeft w:val="0"/>
      <w:marRight w:val="0"/>
      <w:marTop w:val="0"/>
      <w:marBottom w:val="0"/>
      <w:divBdr>
        <w:top w:val="none" w:sz="0" w:space="0" w:color="auto"/>
        <w:left w:val="none" w:sz="0" w:space="0" w:color="auto"/>
        <w:bottom w:val="none" w:sz="0" w:space="0" w:color="auto"/>
        <w:right w:val="none" w:sz="0" w:space="0" w:color="auto"/>
      </w:divBdr>
    </w:div>
    <w:div w:id="2082436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10</Pages>
  <Words>2384</Words>
  <Characters>14308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2022-02-03T10:04:00Z</cp:lastPrinted>
  <dcterms:created xsi:type="dcterms:W3CDTF">2022-02-08T10:13:00Z</dcterms:created>
  <dcterms:modified xsi:type="dcterms:W3CDTF">2022-02-08T10:13:00Z</dcterms:modified>
</cp:coreProperties>
</file>