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6B" w:rsidRPr="00B67D06" w:rsidRDefault="00C91161" w:rsidP="00B64539">
      <w:pPr>
        <w:pStyle w:val="Bezodstpw"/>
        <w:numPr>
          <w:ilvl w:val="0"/>
          <w:numId w:val="2"/>
        </w:numPr>
        <w:ind w:left="284" w:hanging="284"/>
        <w:jc w:val="both"/>
        <w:rPr>
          <w:b/>
        </w:rPr>
      </w:pPr>
      <w:r w:rsidRPr="00B67D06">
        <w:rPr>
          <w:b/>
        </w:rPr>
        <w:t>PRZEDMIOT ZAMÓWIENIA</w:t>
      </w:r>
    </w:p>
    <w:p w:rsidR="00AE5DDB" w:rsidRDefault="00854238" w:rsidP="00AE5DDB">
      <w:pPr>
        <w:pStyle w:val="Bezodstpw"/>
        <w:jc w:val="both"/>
      </w:pPr>
      <w:r>
        <w:t>Przedmiotem zamówienia</w:t>
      </w:r>
      <w:r w:rsidR="00C05801" w:rsidRPr="00C05801">
        <w:t xml:space="preserve"> jest </w:t>
      </w:r>
      <w:r w:rsidR="00374A1B">
        <w:t>opracowanie koncepcji funkcjonalno</w:t>
      </w:r>
      <w:r w:rsidR="00C05801" w:rsidRPr="00C05801">
        <w:t xml:space="preserve">-przestrzennej rozbudowy szpitala </w:t>
      </w:r>
      <w:r w:rsidR="00CB32C8">
        <w:t xml:space="preserve"> o nowe skrzydło z</w:t>
      </w:r>
      <w:r w:rsidR="00C05801" w:rsidRPr="00C05801">
        <w:t xml:space="preserve"> szacunkowym kosztem realizacji inwestycji.</w:t>
      </w:r>
    </w:p>
    <w:p w:rsidR="00C91161" w:rsidRDefault="00FC26EC" w:rsidP="00AE5DDB">
      <w:pPr>
        <w:pStyle w:val="Bezodstpw"/>
        <w:jc w:val="both"/>
      </w:pPr>
      <w:r>
        <w:t xml:space="preserve">Planowana rozbudowa </w:t>
      </w:r>
      <w:r w:rsidR="004D4982">
        <w:t xml:space="preserve"> dotyczy  budowy nowego skrzydła na terenie przyległym do nowo wybudowanego łącznika z windami. </w:t>
      </w:r>
      <w:r>
        <w:t>Planuje się wybudowanie czterokondygnacyjnego (w tym piwnica)  budynku</w:t>
      </w:r>
      <w:r w:rsidR="00E2006E">
        <w:t xml:space="preserve"> o powierzchni użytkowej około 2400 m2</w:t>
      </w:r>
      <w:r>
        <w:t>, w którym należy uwzględnić:</w:t>
      </w:r>
    </w:p>
    <w:p w:rsidR="00FC26EC" w:rsidRDefault="00FC26EC" w:rsidP="00B64539">
      <w:pPr>
        <w:pStyle w:val="Bezodstpw"/>
        <w:numPr>
          <w:ilvl w:val="0"/>
          <w:numId w:val="4"/>
        </w:numPr>
        <w:jc w:val="both"/>
      </w:pPr>
      <w:r>
        <w:t>Piwnica – szatnia, pomieszczenia techniczne, lokal gastronomiczny</w:t>
      </w:r>
      <w:r w:rsidR="00AE5DDB">
        <w:t xml:space="preserve"> wraz z ogródkiem letnim</w:t>
      </w:r>
    </w:p>
    <w:p w:rsidR="00FC26EC" w:rsidRDefault="00FC26EC" w:rsidP="00B64539">
      <w:pPr>
        <w:pStyle w:val="Bezodstpw"/>
        <w:numPr>
          <w:ilvl w:val="0"/>
          <w:numId w:val="4"/>
        </w:numPr>
        <w:jc w:val="both"/>
      </w:pPr>
      <w:r>
        <w:t>Parter – Oddział Wewnętrzny na minimum 34 łóżka</w:t>
      </w:r>
    </w:p>
    <w:p w:rsidR="00FC26EC" w:rsidRDefault="00FC26EC" w:rsidP="00B64539">
      <w:pPr>
        <w:pStyle w:val="Bezodstpw"/>
        <w:numPr>
          <w:ilvl w:val="0"/>
          <w:numId w:val="4"/>
        </w:numPr>
        <w:jc w:val="both"/>
      </w:pPr>
      <w:r>
        <w:t xml:space="preserve"> I piętro - Oddział Chirurgii na minimum 23 łóżka</w:t>
      </w:r>
    </w:p>
    <w:p w:rsidR="0091156E" w:rsidRDefault="00FC26EC" w:rsidP="0091156E">
      <w:pPr>
        <w:pStyle w:val="Bezodstpw"/>
        <w:numPr>
          <w:ilvl w:val="0"/>
          <w:numId w:val="4"/>
        </w:numPr>
        <w:jc w:val="both"/>
      </w:pPr>
      <w:r>
        <w:t>II Piętro – Blok Operacyjny zawierający 2 sale operacyjne oraz Pracownię Badań Endoskopowych</w:t>
      </w:r>
    </w:p>
    <w:p w:rsidR="00AF60BB" w:rsidRDefault="00AF60BB" w:rsidP="00B64539">
      <w:pPr>
        <w:pStyle w:val="Bezodstpw"/>
        <w:jc w:val="both"/>
      </w:pPr>
      <w:r>
        <w:t>W koncepcji Programowo-Przestrzennej należy uwzględnić:</w:t>
      </w:r>
    </w:p>
    <w:p w:rsidR="00AF60BB" w:rsidRDefault="00AF60BB" w:rsidP="00B64539">
      <w:pPr>
        <w:pStyle w:val="Bezodstpw"/>
        <w:numPr>
          <w:ilvl w:val="0"/>
          <w:numId w:val="3"/>
        </w:numPr>
        <w:jc w:val="both"/>
      </w:pPr>
      <w:r>
        <w:t>Koncepcję – rzuty kondygnacji z uwzględnieniem wytycznych technologii medycznej, elewacje, dach, przekroje, koncepcję zagospodarowania terenu</w:t>
      </w:r>
      <w:r w:rsidR="0091156E">
        <w:t xml:space="preserve"> projektowanego budynku</w:t>
      </w:r>
    </w:p>
    <w:p w:rsidR="00AF60BB" w:rsidRDefault="00AF60BB" w:rsidP="00B64539">
      <w:pPr>
        <w:pStyle w:val="Bezodstpw"/>
        <w:numPr>
          <w:ilvl w:val="0"/>
          <w:numId w:val="3"/>
        </w:numPr>
        <w:jc w:val="both"/>
      </w:pPr>
      <w:r>
        <w:t xml:space="preserve">Schematy blokowe w zakresie funkcji </w:t>
      </w:r>
      <w:r w:rsidR="0091156E">
        <w:t xml:space="preserve">planowanych </w:t>
      </w:r>
      <w:r>
        <w:t>pomieszczeń</w:t>
      </w:r>
      <w:r w:rsidR="0091156E">
        <w:t xml:space="preserve"> </w:t>
      </w:r>
    </w:p>
    <w:p w:rsidR="00AF60BB" w:rsidRDefault="00AF60BB" w:rsidP="00B64539">
      <w:pPr>
        <w:pStyle w:val="Bezodstpw"/>
        <w:numPr>
          <w:ilvl w:val="0"/>
          <w:numId w:val="3"/>
        </w:numPr>
        <w:jc w:val="both"/>
      </w:pPr>
      <w:r>
        <w:t>Wizualizacje budynku</w:t>
      </w:r>
    </w:p>
    <w:p w:rsidR="0091156E" w:rsidRDefault="0091156E" w:rsidP="00B64539">
      <w:pPr>
        <w:pStyle w:val="Bezodstpw"/>
        <w:numPr>
          <w:ilvl w:val="0"/>
          <w:numId w:val="3"/>
        </w:numPr>
        <w:jc w:val="both"/>
      </w:pPr>
      <w:r>
        <w:t xml:space="preserve">Koncepcję komunikacji </w:t>
      </w:r>
      <w:r w:rsidR="00E03379">
        <w:t>istniejącej</w:t>
      </w:r>
      <w:r>
        <w:t xml:space="preserve"> </w:t>
      </w:r>
      <w:r w:rsidR="00FF4210">
        <w:t xml:space="preserve">starej </w:t>
      </w:r>
      <w:r>
        <w:t>części szpitala z</w:t>
      </w:r>
      <w:r w:rsidR="00FF4210">
        <w:t xml:space="preserve"> nowo wybudowanym</w:t>
      </w:r>
      <w:r>
        <w:t xml:space="preserve"> łącznikiem windowym </w:t>
      </w:r>
      <w:r w:rsidR="00E03379">
        <w:t>oraz w dalszej konsekwencji z planowaną inwestycją, tak b</w:t>
      </w:r>
      <w:r w:rsidR="00FF4210">
        <w:t xml:space="preserve">y w zakresie danej kondygnacji </w:t>
      </w:r>
      <w:r w:rsidR="00E03379">
        <w:t>była możliwość transportu pacjenta na łóżku bez konieczności korzystania z windy</w:t>
      </w:r>
    </w:p>
    <w:p w:rsidR="00374A1B" w:rsidRDefault="00374A1B" w:rsidP="00B64539">
      <w:pPr>
        <w:pStyle w:val="Bezodstpw"/>
        <w:numPr>
          <w:ilvl w:val="0"/>
          <w:numId w:val="3"/>
        </w:numPr>
        <w:jc w:val="both"/>
      </w:pPr>
      <w:r>
        <w:t>Szacunkowy koszt realizacji inwestycji z podziałem na branże</w:t>
      </w:r>
    </w:p>
    <w:p w:rsidR="00E2006E" w:rsidRDefault="00E2006E" w:rsidP="00B64539">
      <w:pPr>
        <w:pStyle w:val="Bezodstpw"/>
        <w:jc w:val="both"/>
      </w:pPr>
    </w:p>
    <w:p w:rsidR="00AF60BB" w:rsidRDefault="00AF60BB" w:rsidP="00B64539">
      <w:pPr>
        <w:pStyle w:val="Bezodstpw"/>
        <w:jc w:val="both"/>
      </w:pPr>
      <w:r>
        <w:t>Wymagana ilość egzemplarzy – 3 w formie papierowej, wersja elektroniczna w formacie PDF oraz DWG</w:t>
      </w:r>
      <w:r w:rsidR="009255A9">
        <w:t>.</w:t>
      </w:r>
    </w:p>
    <w:p w:rsidR="00E2006E" w:rsidRDefault="00E2006E" w:rsidP="00B64539">
      <w:pPr>
        <w:pStyle w:val="Bezodstpw"/>
        <w:jc w:val="both"/>
      </w:pPr>
      <w:r>
        <w:t>W opisie koncepcji należy podać powierzchnię netto rozbudowanej części oraz powierzchnię przeznaczoną na komunikację.</w:t>
      </w:r>
    </w:p>
    <w:p w:rsidR="00C05801" w:rsidRDefault="00C05801" w:rsidP="00B64539">
      <w:pPr>
        <w:pStyle w:val="Bezodstpw"/>
        <w:jc w:val="both"/>
      </w:pPr>
    </w:p>
    <w:p w:rsidR="00C05801" w:rsidRPr="00B67D06" w:rsidRDefault="00C05801" w:rsidP="00B64539">
      <w:pPr>
        <w:pStyle w:val="Bezodstpw"/>
        <w:numPr>
          <w:ilvl w:val="0"/>
          <w:numId w:val="2"/>
        </w:numPr>
        <w:ind w:left="284" w:hanging="284"/>
        <w:jc w:val="both"/>
        <w:rPr>
          <w:b/>
        </w:rPr>
      </w:pPr>
      <w:r w:rsidRPr="00B67D06">
        <w:rPr>
          <w:b/>
        </w:rPr>
        <w:t>TERMIN WYKONANIA ZAMÓWIENIA</w:t>
      </w:r>
    </w:p>
    <w:p w:rsidR="00C05801" w:rsidRPr="00C05801" w:rsidRDefault="00E2006E" w:rsidP="00B64539">
      <w:pPr>
        <w:pStyle w:val="Bezodstpw"/>
        <w:jc w:val="both"/>
      </w:pPr>
      <w:r>
        <w:t xml:space="preserve">Przedmiot zamówienia zostanie zrealizowany w terminie do </w:t>
      </w:r>
      <w:r w:rsidR="00AE5DDB">
        <w:t>45</w:t>
      </w:r>
      <w:r w:rsidR="00C05801">
        <w:t xml:space="preserve"> dni od </w:t>
      </w:r>
      <w:r>
        <w:t xml:space="preserve">dnia </w:t>
      </w:r>
      <w:r w:rsidR="00C05801">
        <w:t>podpisania umowy</w:t>
      </w:r>
      <w:r w:rsidR="00AE5DDB">
        <w:t>.</w:t>
      </w:r>
      <w:r w:rsidR="00207FC1">
        <w:t xml:space="preserve"> </w:t>
      </w:r>
      <w:r w:rsidR="00AE5DDB">
        <w:t xml:space="preserve">Koncepcja funkcjonalno-przestrzenna </w:t>
      </w:r>
      <w:r w:rsidR="00207FC1">
        <w:t>wymaga akceptacji Zamawiającego</w:t>
      </w:r>
      <w:r w:rsidR="00AE5DDB">
        <w:t>.</w:t>
      </w:r>
      <w:r w:rsidR="004D4982">
        <w:t xml:space="preserve"> </w:t>
      </w:r>
    </w:p>
    <w:p w:rsidR="00C91161" w:rsidRDefault="00C91161" w:rsidP="00B64539">
      <w:pPr>
        <w:pStyle w:val="Bezodstpw"/>
        <w:jc w:val="both"/>
      </w:pPr>
    </w:p>
    <w:p w:rsidR="00AF60BB" w:rsidRPr="00B67D06" w:rsidRDefault="00B67D06" w:rsidP="00B64539">
      <w:pPr>
        <w:pStyle w:val="Bezodstpw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DODATKOWE INFORMACJE</w:t>
      </w:r>
    </w:p>
    <w:p w:rsidR="00F128E5" w:rsidRDefault="00B64539" w:rsidP="00B64539">
      <w:pPr>
        <w:pStyle w:val="Bezodstpw"/>
        <w:jc w:val="both"/>
      </w:pPr>
      <w:r>
        <w:t>O udzielenia zamówienia mogą ubiegać się Wykonawcy posiadający niezbędne uprawnienia do wykonywania określonej działalności, posiadający niezbędną wiedzę i doświadczenie oraz dysponują osobami uprawnionymi do wykonania przedmiotu zamówienia</w:t>
      </w:r>
    </w:p>
    <w:p w:rsidR="00860C30" w:rsidRDefault="00860C30" w:rsidP="00B64539">
      <w:pPr>
        <w:pStyle w:val="Bezodstpw"/>
        <w:jc w:val="both"/>
      </w:pPr>
    </w:p>
    <w:p w:rsidR="00F128E5" w:rsidRDefault="00F128E5" w:rsidP="00B64539">
      <w:pPr>
        <w:pStyle w:val="Bezodstpw"/>
        <w:jc w:val="both"/>
      </w:pPr>
      <w:r>
        <w:t>Zamawiający za należyte wykonanie przedmiotu zamówienia zapłaci wynagrodzenie Wykona</w:t>
      </w:r>
      <w:r w:rsidR="00AE5DDB">
        <w:t>wcy w </w:t>
      </w:r>
      <w:r>
        <w:t>terminie do 30 dni od dnia prawidłowo wystawionej i dostarczonej faktury. Podstawą do wystawienia faktury jest podpisany przez obie strony protokół odbioru przedmiotu zamówienia, bez uwag i zastrzeżeń.</w:t>
      </w:r>
    </w:p>
    <w:p w:rsidR="00860C30" w:rsidRDefault="00860C30" w:rsidP="00B64539">
      <w:pPr>
        <w:pStyle w:val="Bezodstpw"/>
        <w:jc w:val="both"/>
      </w:pPr>
    </w:p>
    <w:p w:rsidR="00207FC1" w:rsidRDefault="00207FC1" w:rsidP="00B64539">
      <w:pPr>
        <w:pStyle w:val="Bezodstpw"/>
        <w:jc w:val="both"/>
      </w:pPr>
      <w:r>
        <w:t>Wykonawca zobowiązuje się przenieść na Zamawiającego całość praw autorskich, bez żadnych ograniczeń czasowych i terytorialnych.</w:t>
      </w:r>
      <w:r w:rsidRPr="00207FC1">
        <w:t xml:space="preserve"> </w:t>
      </w:r>
      <w:r w:rsidR="00F128E5">
        <w:t xml:space="preserve">Przeniesienie praw autorskich </w:t>
      </w:r>
      <w:r>
        <w:t xml:space="preserve"> nastą</w:t>
      </w:r>
      <w:r w:rsidR="00F128E5">
        <w:t>pi z momentem przekazania Zamawiającemu przedmiotu zamówienia.</w:t>
      </w:r>
    </w:p>
    <w:p w:rsidR="00860C30" w:rsidRDefault="00860C30" w:rsidP="00B64539">
      <w:pPr>
        <w:pStyle w:val="Bezodstpw"/>
        <w:jc w:val="both"/>
      </w:pPr>
    </w:p>
    <w:p w:rsidR="00860C30" w:rsidRPr="00BC1CC5" w:rsidRDefault="00860C30" w:rsidP="00C05801">
      <w:pPr>
        <w:pStyle w:val="Bezodstpw"/>
      </w:pPr>
      <w:r w:rsidRPr="00BC1CC5">
        <w:t>Dokumentacja będąca przedmiotem zamówienia musi spełniać wymogi określone w :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7.07.1994 r. Prawo budowlane (Dz.U. 1994 nr 89 poz. 414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16.04.2004 r. o wyrobach budowlanych (Dz.U. 2004 nr 92 poz. 881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12.09.2002 r. o normalizacji (Dz.U. 2002 nr 169 poz. 1386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lastRenderedPageBreak/>
        <w:t>•</w:t>
      </w:r>
      <w:r w:rsidRPr="00BC1CC5">
        <w:tab/>
        <w:t>Ustawa z dnia 30.08.2002 r. o systemie zgodności (Dz.U. 2002 nr 166 poz. 1360 z póżn.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24.08.1991 r. o ochronie przeciwpożarowej (Dz.U. 1991 nr 81 poz. 351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10.04.1997 r. Prawo energetyczne (Dz.U. 1997 nr 54 poz. 348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 xml:space="preserve">Ustawa z dnia 16.04.2004 r. o ochronie przyrody (Dz.U. 2004 nr 92 poz. 880 z późn. zmianami) 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27.04.2001 r. o odpadach (Dz.U. 2001 nr 62 poz. 628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Ustawa z dnia 15.04.2011 r. o działalności leczniczej (Dz.U. nr 112 poz. 654)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 xml:space="preserve">Rozporządzenie Ministra Zdrowia z dnia 29 marca 2019 r. w sprawie szczegółowych wymagań, jakim powinny odpowiadać pomieszczenia i urządzenia podmiotu wykonującego działalność  leczniczą 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12.04.2002 r w sprawie warunków technicznych, jakim powinny odpowiadać budynki i ich usytuowanie (Dz.U. 2002 nr 75 poz. 690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Spraw Wewnętrznych i Administracji z dnia 07.06.2010 r w sprawie ochrony przeciwpożarowej  budynków, innych obiektów budowlanych i terenów (Dz.U. 2010 nr 109 poz. 719)</w:t>
      </w:r>
    </w:p>
    <w:p w:rsidR="00BC1CC5" w:rsidRPr="00BC1CC5" w:rsidRDefault="00BC1CC5" w:rsidP="00BC1CC5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r w:rsidRPr="00BC1CC5">
        <w:t>Rozporządzenie Ministra Spraw Wewnętrznych i Administracji z dnia 16.06.2003 r w sprawie uzgadniania projektu budowlanego pod względem ochrony przeciwpożarowej (Dz.U. 2003 nr 121 poz. 1137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11.08.2004r w sprawie sposobów deklarowania zgodności wyrobów budowlanych oraz sposobu znakowania ich znakiem budowlanym (Dz.U. 2004 nr 198 poz. 2041 z późn. zmianami)</w:t>
      </w:r>
    </w:p>
    <w:p w:rsidR="00BC1CC5" w:rsidRPr="00BC1CC5" w:rsidRDefault="00BC1CC5" w:rsidP="00BC1CC5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r w:rsidRPr="00BC1CC5">
        <w:t>Rozporządzenie Ministra Infrastruktury z dnia 8.11.2004 r w sprawie aprobat technicznych oraz jednostek organizacyjnych upoważnionych do ich wydawania (Dz.U. 2004 nr 249 poz. 2497 z późn. 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25.01.2011 r w sprawie próbek wyrobów budowlanych wprowadzonych do obrotu (Dz.U. 2011 nr 23 poz. 122)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14.10.2004 r w sprawie europejskich aprobat technicznych oraz polskich jednostek organizacyjnych upoważnionych do ich wydawania (Dz.U. 2004 nr 237 poz.  2375)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11.08.2004 r w sprawie systemów oceny zgodności, wymagań, jakie powinny spełniać notyfikowane jednostki uczestniczące w ocenie zgodności oraz sposobu oznaczania wyrobów budowlanych oznakowaniem CE (Dz.U. 2004 nr 195 poz.  2011)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Rady Ministrów z dnia 23.12.2002 r w sprawie sposobu nadawania i wykorzystywania znaku zgodności z Polską Normą (Dz.U. 2002 nr 241 poz. 2077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Pracy i Polityki Socjalnej z dnia 26.09.1997 r w sprawie ogólnych przepisów bezpieczeństwa i higieny pracy (Dz.U. 1997 nr 129 poz. 844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06.02.2003 r. w sprawie ogólnych zasad dotyczących bezpieczeństwa i higieny pracy podczas wykonywania robót budowlanych</w:t>
      </w:r>
      <w:r w:rsidRPr="00BC1CC5">
        <w:br/>
        <w:t xml:space="preserve"> ( Dz.U. Nr 47, poz. 401 )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26.06.2002 r w sprawie dziennika budowy, montażu i rozbiórki tablicy informacyjnej oraz ogłoszenia zawierającego dane dotyczące bezpieczeństwa pracy  i ochrony zdrowia (Dz.U. 2002 nr 108 poz. 953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23.06.2003 r w sprawie informacji dotyczącej bezpieczeństwa i ochrony zdrowia oraz planu bezpieczeństwa i ochrony zdrowia (Dz.U. 2003 nr 120 poz. 1126)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lastRenderedPageBreak/>
        <w:t>•</w:t>
      </w:r>
      <w:r w:rsidRPr="00BC1CC5">
        <w:tab/>
        <w:t>Rozporządzenie Ministra Infrastruktury z dnia 18.05.2004 r w określania metod i podstaw sporządzania kosztorysu inwestorskiego, obliczania planowanych kosztów prac projektowych oraz planowanych kosztów robót budowlanych określonych w programie funkcjonalno-użytkowym (Dz.U. 2004 nr 130 poz. 1389)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Rady Ministrów z dnia 9.11.201O r w sprawie przedsięwzięć mogących znacząco oddziaływać na środowisko (Dz.U. 2010 nr 213 poz. 1397)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Infrastruktury z dnia 3.07.2003 r w sprawie szczegółowego zakresu i formy projektu budowlanego (Dz.U. 2003 nr 120 poz. 1133 z późn. zmianami)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Rozporządzenie Ministra Pracy i Polityki Społecznej z dnia 29.11.2002 r w sprawie najwyższych dopuszczalnych stężeń i natężeń czynników szkodliwych dla zdrowia w środowisku pracy (Dz.U. 2002 nr 217 poz. 1833)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Zarządzenie Ministra Zdrowia i Opieki Społecznej z dnia 12.03.1996 r w sprawie najwyższych dopuszczalnych stężeń i natężeń czynników szkodliwych dla zdrowia, wydzielanych przez materiały budowlane, urządzenia i elementy wyposażenia w pomieszczeniach przeznaczonych na pobyt ludzi (M.P. 1996 nr 19 poz. 231)</w:t>
      </w:r>
    </w:p>
    <w:p w:rsidR="00BC1CC5" w:rsidRPr="00BC1CC5" w:rsidRDefault="00BC1CC5" w:rsidP="00BC1CC5">
      <w:pPr>
        <w:pStyle w:val="Akapitzlist"/>
        <w:spacing w:after="0" w:line="240" w:lineRule="auto"/>
        <w:ind w:left="709" w:hanging="349"/>
        <w:jc w:val="both"/>
      </w:pPr>
      <w:r w:rsidRPr="00BC1CC5">
        <w:t>•</w:t>
      </w:r>
      <w:r w:rsidRPr="00BC1CC5">
        <w:tab/>
        <w:t>Załącznik nr 3b do zarządzenia nr 65/2007/DSOZ wymagania NFZ wobec pracowni diagnostycznych</w:t>
      </w:r>
    </w:p>
    <w:p w:rsidR="00BC1CC5" w:rsidRDefault="00BC1CC5" w:rsidP="00BC1CC5">
      <w:pPr>
        <w:pStyle w:val="Bezodstpw"/>
      </w:pPr>
    </w:p>
    <w:sectPr w:rsidR="00BC1CC5" w:rsidSect="002A4D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C0" w:rsidRDefault="003C0FC0" w:rsidP="00B67D06">
      <w:pPr>
        <w:spacing w:after="0" w:line="240" w:lineRule="auto"/>
      </w:pPr>
      <w:r>
        <w:separator/>
      </w:r>
    </w:p>
  </w:endnote>
  <w:endnote w:type="continuationSeparator" w:id="1">
    <w:p w:rsidR="003C0FC0" w:rsidRDefault="003C0FC0" w:rsidP="00B6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7297"/>
      <w:docPartObj>
        <w:docPartGallery w:val="Page Numbers (Bottom of Page)"/>
        <w:docPartUnique/>
      </w:docPartObj>
    </w:sdtPr>
    <w:sdtContent>
      <w:p w:rsidR="00B67D06" w:rsidRDefault="009F06D8">
        <w:pPr>
          <w:pStyle w:val="Stopka"/>
          <w:jc w:val="right"/>
        </w:pPr>
        <w:fldSimple w:instr=" PAGE   \* MERGEFORMAT ">
          <w:r w:rsidR="00FF4210">
            <w:rPr>
              <w:noProof/>
            </w:rPr>
            <w:t>1</w:t>
          </w:r>
        </w:fldSimple>
      </w:p>
    </w:sdtContent>
  </w:sdt>
  <w:p w:rsidR="00B67D06" w:rsidRDefault="00B67D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C0" w:rsidRDefault="003C0FC0" w:rsidP="00B67D06">
      <w:pPr>
        <w:spacing w:after="0" w:line="240" w:lineRule="auto"/>
      </w:pPr>
      <w:r>
        <w:separator/>
      </w:r>
    </w:p>
  </w:footnote>
  <w:footnote w:type="continuationSeparator" w:id="1">
    <w:p w:rsidR="003C0FC0" w:rsidRDefault="003C0FC0" w:rsidP="00B6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CEB"/>
    <w:multiLevelType w:val="hybridMultilevel"/>
    <w:tmpl w:val="CE94A176"/>
    <w:lvl w:ilvl="0" w:tplc="4CDE522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505B6A"/>
    <w:multiLevelType w:val="hybridMultilevel"/>
    <w:tmpl w:val="96A263BA"/>
    <w:lvl w:ilvl="0" w:tplc="742A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309E"/>
    <w:multiLevelType w:val="hybridMultilevel"/>
    <w:tmpl w:val="D9E83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FA180F"/>
    <w:multiLevelType w:val="hybridMultilevel"/>
    <w:tmpl w:val="5796A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D4E1D"/>
    <w:multiLevelType w:val="hybridMultilevel"/>
    <w:tmpl w:val="E896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32F2"/>
    <w:multiLevelType w:val="hybridMultilevel"/>
    <w:tmpl w:val="75B6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61"/>
    <w:rsid w:val="00177188"/>
    <w:rsid w:val="00207FC1"/>
    <w:rsid w:val="002A4D6B"/>
    <w:rsid w:val="00374A1B"/>
    <w:rsid w:val="003C0FC0"/>
    <w:rsid w:val="004D4982"/>
    <w:rsid w:val="00507796"/>
    <w:rsid w:val="00743482"/>
    <w:rsid w:val="008042F0"/>
    <w:rsid w:val="00854238"/>
    <w:rsid w:val="00860C30"/>
    <w:rsid w:val="0091156E"/>
    <w:rsid w:val="009255A9"/>
    <w:rsid w:val="00954CE8"/>
    <w:rsid w:val="009D6B66"/>
    <w:rsid w:val="009F06D8"/>
    <w:rsid w:val="00A12E3E"/>
    <w:rsid w:val="00AC7427"/>
    <w:rsid w:val="00AE5DDB"/>
    <w:rsid w:val="00AF60BB"/>
    <w:rsid w:val="00B64539"/>
    <w:rsid w:val="00B67D06"/>
    <w:rsid w:val="00B714C1"/>
    <w:rsid w:val="00BA03B6"/>
    <w:rsid w:val="00BC1CC5"/>
    <w:rsid w:val="00C05801"/>
    <w:rsid w:val="00C500ED"/>
    <w:rsid w:val="00C8251E"/>
    <w:rsid w:val="00C91161"/>
    <w:rsid w:val="00CB32C8"/>
    <w:rsid w:val="00DA4F19"/>
    <w:rsid w:val="00E03379"/>
    <w:rsid w:val="00E2006E"/>
    <w:rsid w:val="00F128E5"/>
    <w:rsid w:val="00FA1778"/>
    <w:rsid w:val="00FB2D8C"/>
    <w:rsid w:val="00FC26EC"/>
    <w:rsid w:val="00FF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1161"/>
    <w:pPr>
      <w:ind w:left="720"/>
      <w:contextualSpacing/>
    </w:pPr>
  </w:style>
  <w:style w:type="paragraph" w:styleId="Bezodstpw">
    <w:name w:val="No Spacing"/>
    <w:uiPriority w:val="1"/>
    <w:qFormat/>
    <w:rsid w:val="00C058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B6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D06"/>
  </w:style>
  <w:style w:type="paragraph" w:styleId="Stopka">
    <w:name w:val="footer"/>
    <w:basedOn w:val="Normalny"/>
    <w:link w:val="StopkaZnak"/>
    <w:uiPriority w:val="99"/>
    <w:unhideWhenUsed/>
    <w:rsid w:val="00B6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FA47-C6AD-43A3-A3C7-4229EF34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2021-07-26T12:08:00Z</dcterms:created>
  <dcterms:modified xsi:type="dcterms:W3CDTF">2021-07-30T09:18:00Z</dcterms:modified>
</cp:coreProperties>
</file>