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D984" w14:textId="40C69470" w:rsidR="00E8255D" w:rsidRPr="003B39A7" w:rsidRDefault="00E8255D" w:rsidP="00BC47B0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14:paraId="7E1343E1" w14:textId="77777777" w:rsidR="00E44E60" w:rsidRPr="00E16E22" w:rsidRDefault="00E44E60" w:rsidP="00E44E60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4420001B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16E22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1AB0DEE8" w14:textId="77777777" w:rsidR="00E44E60" w:rsidRPr="00E16E22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6DE74458" w:rsidR="00E44E60" w:rsidRPr="00E16E22" w:rsidRDefault="00E44E60" w:rsidP="00E44E60">
      <w:pPr>
        <w:rPr>
          <w:rFonts w:ascii="Fira Sans" w:hAnsi="Fira Sans" w:cs="Tahoma"/>
          <w:iCs/>
          <w:sz w:val="20"/>
          <w:szCs w:val="20"/>
        </w:rPr>
      </w:pPr>
      <w:r w:rsidRPr="00E16E22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16E22">
        <w:rPr>
          <w:rFonts w:ascii="Fira Sans" w:hAnsi="Fira Sans" w:cs="Tahoma"/>
          <w:iCs/>
          <w:sz w:val="20"/>
          <w:szCs w:val="20"/>
        </w:rPr>
        <w:t>III.242.</w:t>
      </w:r>
      <w:r w:rsidR="0070756F">
        <w:rPr>
          <w:rFonts w:ascii="Fira Sans" w:hAnsi="Fira Sans" w:cs="Tahoma"/>
          <w:iCs/>
          <w:sz w:val="20"/>
          <w:szCs w:val="20"/>
        </w:rPr>
        <w:t>5</w:t>
      </w:r>
      <w:r w:rsidR="00ED28B4">
        <w:rPr>
          <w:rFonts w:ascii="Fira Sans" w:hAnsi="Fira Sans" w:cs="Tahoma"/>
          <w:iCs/>
          <w:sz w:val="20"/>
          <w:szCs w:val="20"/>
        </w:rPr>
        <w:t>.2023</w:t>
      </w:r>
    </w:p>
    <w:p w14:paraId="606A3EB6" w14:textId="525452D6" w:rsidR="00BF3C6A" w:rsidRDefault="00BF3C6A" w:rsidP="00BF3C6A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21E792" w14:textId="77777777" w:rsidR="00BF3C6A" w:rsidRDefault="00BF3C6A" w:rsidP="00BF3C6A">
      <w:pPr>
        <w:rPr>
          <w:rFonts w:ascii="Calibri" w:hAnsi="Calibri" w:cs="Tahoma"/>
          <w:iCs/>
          <w:sz w:val="20"/>
          <w:szCs w:val="20"/>
        </w:rPr>
      </w:pPr>
    </w:p>
    <w:p w14:paraId="33BDA3EE" w14:textId="77777777" w:rsidR="00BF3C6A" w:rsidRDefault="00BF3C6A" w:rsidP="00BF3C6A">
      <w:pPr>
        <w:rPr>
          <w:rFonts w:ascii="Calibri" w:hAnsi="Calibri" w:cs="Tahoma"/>
          <w:iCs/>
          <w:sz w:val="20"/>
          <w:szCs w:val="20"/>
        </w:rPr>
      </w:pPr>
    </w:p>
    <w:p w14:paraId="4222D662" w14:textId="57B4DD61" w:rsidR="003E2CC0" w:rsidRPr="00ED28B4" w:rsidRDefault="003E2CC0" w:rsidP="003E2CC0">
      <w:pPr>
        <w:spacing w:after="60"/>
        <w:jc w:val="center"/>
        <w:rPr>
          <w:rFonts w:ascii="Fira Sans" w:eastAsia="Fira Sans" w:hAnsi="Fira Sans" w:cs="Fira Sans"/>
          <w:b/>
          <w:color w:val="000000" w:themeColor="text1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Cs w:val="20"/>
        </w:rPr>
        <w:t>„</w:t>
      </w:r>
      <w:r w:rsidR="0070756F">
        <w:rPr>
          <w:rFonts w:ascii="Fira Sans" w:eastAsia="Fira Sans" w:hAnsi="Fira Sans" w:cs="Fira Sans"/>
          <w:b/>
          <w:color w:val="000000" w:themeColor="text1"/>
          <w:szCs w:val="20"/>
        </w:rPr>
        <w:t>TRZY</w:t>
      </w:r>
      <w:r w:rsidRPr="00ED28B4">
        <w:rPr>
          <w:rFonts w:ascii="Fira Sans" w:eastAsia="Fira Sans" w:hAnsi="Fira Sans" w:cs="Fira Sans"/>
          <w:b/>
          <w:color w:val="000000" w:themeColor="text1"/>
          <w:szCs w:val="20"/>
        </w:rPr>
        <w:t xml:space="preserve"> SZKOLE</w:t>
      </w:r>
      <w:r>
        <w:rPr>
          <w:rFonts w:ascii="Fira Sans" w:eastAsia="Fira Sans" w:hAnsi="Fira Sans" w:cs="Fira Sans"/>
          <w:b/>
          <w:color w:val="000000" w:themeColor="text1"/>
          <w:szCs w:val="20"/>
        </w:rPr>
        <w:t>NIA</w:t>
      </w:r>
      <w:r w:rsidRPr="00ED28B4">
        <w:rPr>
          <w:rFonts w:ascii="Fira Sans" w:eastAsia="Fira Sans" w:hAnsi="Fira Sans" w:cs="Fira Sans"/>
          <w:b/>
          <w:color w:val="000000" w:themeColor="text1"/>
          <w:szCs w:val="20"/>
        </w:rPr>
        <w:t xml:space="preserve"> W RAMACH SIECI WSPÓŁPRACY I</w:t>
      </w:r>
      <w:r>
        <w:rPr>
          <w:rFonts w:ascii="Fira Sans" w:eastAsia="Fira Sans" w:hAnsi="Fira Sans" w:cs="Fira Sans"/>
          <w:b/>
          <w:color w:val="000000" w:themeColor="text1"/>
          <w:szCs w:val="20"/>
        </w:rPr>
        <w:t xml:space="preserve"> SAMOKSZTAŁCENIA DLA ANIMATORÓW”</w:t>
      </w:r>
    </w:p>
    <w:p w14:paraId="6DEB2660" w14:textId="18735C6E" w:rsidR="00BF3C6A" w:rsidRDefault="00BF3C6A" w:rsidP="00BF3C6A">
      <w:pPr>
        <w:tabs>
          <w:tab w:val="left" w:pos="9000"/>
        </w:tabs>
        <w:jc w:val="right"/>
        <w:rPr>
          <w:rFonts w:cs="Arial"/>
          <w:b/>
          <w:szCs w:val="20"/>
        </w:rPr>
      </w:pPr>
    </w:p>
    <w:p w14:paraId="1CAD96DF" w14:textId="77777777" w:rsidR="00BF3C6A" w:rsidRDefault="00BF3C6A" w:rsidP="00BF3C6A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1F7001FA" w14:textId="11E51B62" w:rsidR="00E706D9" w:rsidRPr="00E706D9" w:rsidRDefault="00E706D9" w:rsidP="00BE23B4">
      <w:pPr>
        <w:pStyle w:val="Akapitzlist"/>
        <w:numPr>
          <w:ilvl w:val="0"/>
          <w:numId w:val="75"/>
        </w:numPr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Przedmiotem zamówienia jest przeprowadzenie doskonalenia zawodowego w formie </w:t>
      </w:r>
      <w:r w:rsidR="0070756F">
        <w:rPr>
          <w:rFonts w:ascii="Fira Sans" w:eastAsia="Fira Sans" w:hAnsi="Fira Sans" w:cs="Fira Sans"/>
          <w:color w:val="000000" w:themeColor="text1"/>
          <w:sz w:val="20"/>
          <w:szCs w:val="20"/>
        </w:rPr>
        <w:t>trzech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 szkoleń  w ramach sieci współpracy i samokształcenia dla animatorów w projekcie „Pomorskie Żagle Wiedzy – wsparcie regionalne”. Przez pojęcie „szkolenie” Zamawiający rozumie formę doskonalenia łączące różnorodne metody i formy pracy, np. wykład(y) z pracą warsztatową, dyskusją; mogą być realizowane zdalnie z wykorzystaniem dostępnych platform i narzędzi informatycznych. Przez pojęcie „sieci współpracy i samokształcenia” Zamawiający rozumie formę doskonalenia o charakterze zespołów międzyszkolnych, w których uczestniczą dyrektorzy i/lub nauczyciele z różnych szkół współpracujący ze sobą w zorganizowany sposób.</w:t>
      </w:r>
    </w:p>
    <w:p w14:paraId="2708A8A4" w14:textId="66E32492" w:rsidR="00E706D9" w:rsidRPr="00E706D9" w:rsidRDefault="00E706D9" w:rsidP="00BE23B4">
      <w:pPr>
        <w:numPr>
          <w:ilvl w:val="0"/>
          <w:numId w:val="75"/>
        </w:numPr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Siec współpracy i samokształcenia animatorów  składa się  z cyklu </w:t>
      </w:r>
      <w:r w:rsidR="0070756F">
        <w:rPr>
          <w:rFonts w:ascii="Fira Sans" w:eastAsia="Fira Sans" w:hAnsi="Fira Sans" w:cs="Fira Sans"/>
          <w:color w:val="000000" w:themeColor="text1"/>
          <w:sz w:val="20"/>
          <w:szCs w:val="20"/>
        </w:rPr>
        <w:t>3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spotkań w formie szkoleń z pracą warsztatową, których celem ogólnym jest rozwijanie kompetencji nauczycieli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br/>
        <w:t>i nauczycielek w zakresie:</w:t>
      </w:r>
    </w:p>
    <w:p w14:paraId="123A66BC" w14:textId="77777777" w:rsidR="00E706D9" w:rsidRPr="00E706D9" w:rsidRDefault="00E706D9" w:rsidP="00E706D9">
      <w:pPr>
        <w:spacing w:line="360" w:lineRule="auto"/>
        <w:ind w:firstLine="142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- włączania tematyki morsko-żeglarskiej w realizację podstaw programowych różnych przedmiotów w szkole podstawowej,</w:t>
      </w:r>
    </w:p>
    <w:p w14:paraId="6583F4E4" w14:textId="77777777" w:rsidR="00E706D9" w:rsidRPr="00E706D9" w:rsidRDefault="00E706D9" w:rsidP="00E706D9">
      <w:pPr>
        <w:spacing w:line="360" w:lineRule="auto"/>
        <w:ind w:firstLine="142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- możliwości wykorzystania TIK w edukacji morskiej,</w:t>
      </w:r>
    </w:p>
    <w:p w14:paraId="1256AA52" w14:textId="77777777" w:rsidR="00E706D9" w:rsidRPr="00E706D9" w:rsidRDefault="00E706D9" w:rsidP="00E706D9">
      <w:pPr>
        <w:spacing w:line="360" w:lineRule="auto"/>
        <w:ind w:firstLine="142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- prac bosmańskich,</w:t>
      </w:r>
    </w:p>
    <w:p w14:paraId="21D0B6F3" w14:textId="77777777" w:rsidR="00E706D9" w:rsidRPr="00E706D9" w:rsidRDefault="00E706D9" w:rsidP="00E706D9">
      <w:pPr>
        <w:spacing w:line="360" w:lineRule="auto"/>
        <w:ind w:firstLine="142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- bezpieczeństwa nad wodą i na wodzie</w:t>
      </w:r>
    </w:p>
    <w:p w14:paraId="5F0753BB" w14:textId="77777777" w:rsidR="00E706D9" w:rsidRP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7AD69C3B" w14:textId="192DD294" w:rsidR="00E706D9" w:rsidRPr="00E706D9" w:rsidRDefault="00E706D9" w:rsidP="0070756F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Szczegółowa tematyka szkoleń będzie dotyczyć:</w:t>
      </w:r>
    </w:p>
    <w:p w14:paraId="77AF1183" w14:textId="4E89FCC1" w:rsidR="00BE23B4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Spotkanie </w:t>
      </w:r>
      <w:r w:rsidR="0070756F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1</w:t>
      </w: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. </w:t>
      </w:r>
      <w:r w:rsidR="00BE23B4" w:rsidRPr="00BE23B4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- 29.04.2023 r.</w:t>
      </w:r>
    </w:p>
    <w:p w14:paraId="261D21D6" w14:textId="2206BDE0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Podstawy budowy jachtu - konstrukcja, żagle, liny.</w:t>
      </w:r>
    </w:p>
    <w:p w14:paraId="46A7C8A9" w14:textId="77777777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Treści szkoleniowe: </w:t>
      </w:r>
    </w:p>
    <w:p w14:paraId="2DC9E4E5" w14:textId="39B8FC65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1)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Budowa jachtu - nazewnictwo i główne elementy konstrukcyjne.</w:t>
      </w:r>
    </w:p>
    <w:p w14:paraId="355EF571" w14:textId="43FD4C8A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2)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Rodzaje żagli i lin.</w:t>
      </w:r>
    </w:p>
    <w:p w14:paraId="16FAB822" w14:textId="612CDE43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3)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Etykieta flagowa.</w:t>
      </w:r>
    </w:p>
    <w:p w14:paraId="2B76C027" w14:textId="78977FF0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4)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Węzły używane podczas pracy z linami.</w:t>
      </w:r>
    </w:p>
    <w:p w14:paraId="05B65CCE" w14:textId="77777777" w:rsidR="00E706D9" w:rsidRP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4F981AE7" w14:textId="4229DE6F" w:rsid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5B47315F" w14:textId="5421F689" w:rsidR="0070756F" w:rsidRDefault="0070756F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35FBC215" w14:textId="77777777" w:rsidR="0070756F" w:rsidRPr="00E706D9" w:rsidRDefault="0070756F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02AFD783" w14:textId="26D1B502" w:rsidR="00BE23B4" w:rsidRDefault="00E706D9" w:rsidP="00E706D9">
      <w:pPr>
        <w:spacing w:line="360" w:lineRule="auto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Spotkanie </w:t>
      </w:r>
      <w:r w:rsidR="0070756F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2</w:t>
      </w: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. </w:t>
      </w:r>
      <w:r w:rsidR="00BE23B4" w:rsidRPr="00BE23B4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- 20.05.2023 r.</w:t>
      </w:r>
    </w:p>
    <w:p w14:paraId="194D0256" w14:textId="62A8D993" w:rsidR="00E706D9" w:rsidRPr="00E706D9" w:rsidRDefault="00E706D9" w:rsidP="00E706D9">
      <w:pPr>
        <w:spacing w:line="360" w:lineRule="auto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Rozwijanie kompetencji naukowo-technicznych poprzez wykorzystanie teorii żeglowania.</w:t>
      </w:r>
    </w:p>
    <w:p w14:paraId="3A5F5EBB" w14:textId="77777777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Treści szkoleniowe:</w:t>
      </w:r>
    </w:p>
    <w:p w14:paraId="77C1FC54" w14:textId="130E0F8A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1)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Działanie żagli (budowa żagli; siła nośna na żaglach).</w:t>
      </w:r>
    </w:p>
    <w:p w14:paraId="67FA1EE5" w14:textId="046224E3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2)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Teoria wiatru (wiatr rzeczywisty i wiatr pozorny).</w:t>
      </w:r>
    </w:p>
    <w:p w14:paraId="0180251E" w14:textId="4C27DE1F" w:rsidR="00E706D9" w:rsidRPr="00E706D9" w:rsidRDefault="00F0669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2"/>
          <w:id w:val="364179011"/>
        </w:sdtPr>
        <w:sdtContent/>
      </w:sdt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3"/>
          <w:id w:val="-72205817"/>
        </w:sdtPr>
        <w:sdtContent/>
      </w:sdt>
      <w:r w:rsidR="00E706D9">
        <w:rPr>
          <w:rFonts w:ascii="Fira Sans" w:eastAsia="Fira Sans" w:hAnsi="Fira Sans" w:cs="Fira Sans"/>
          <w:color w:val="000000" w:themeColor="text1"/>
          <w:sz w:val="20"/>
          <w:szCs w:val="20"/>
        </w:rPr>
        <w:t>3)</w:t>
      </w:r>
      <w:r w:rsidR="00E706D9"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Podstawowa obsługa jachtu w symulatorze.</w:t>
      </w:r>
    </w:p>
    <w:p w14:paraId="2C1C8EEC" w14:textId="3E3C51B0" w:rsidR="00E706D9" w:rsidRPr="00E706D9" w:rsidRDefault="00E706D9" w:rsidP="00E706D9">
      <w:pPr>
        <w:spacing w:line="360" w:lineRule="auto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4)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Sterowanie jachtem względem wiatru (kursy: bajdewind, półwiatr, baksztag i fordewind oraz manewry: ostrzenie, odpadanie, zwrot przez sztag, zwrot przez rufę).</w:t>
      </w:r>
    </w:p>
    <w:p w14:paraId="5EA3AEDA" w14:textId="77777777" w:rsidR="00E706D9" w:rsidRP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27D7CFB1" w14:textId="7DB9ACE2" w:rsidR="00BE23B4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Spotkanie </w:t>
      </w:r>
      <w:r w:rsidR="0070756F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3</w:t>
      </w: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. </w:t>
      </w:r>
      <w:r w:rsidR="00BE23B4" w:rsidRPr="00BE23B4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- 17.06.2023 r.</w:t>
      </w:r>
    </w:p>
    <w:p w14:paraId="4877D299" w14:textId="374331BC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Kurs na bezpieczeństwo, czyli o bezpiecznym i przyjemnym żeglowaniu</w:t>
      </w:r>
    </w:p>
    <w:p w14:paraId="37D7213B" w14:textId="77777777" w:rsidR="00E706D9" w:rsidRPr="00E706D9" w:rsidRDefault="00E706D9" w:rsidP="00E706D9">
      <w:pPr>
        <w:spacing w:line="360" w:lineRule="auto"/>
        <w:ind w:left="567" w:hanging="567"/>
        <w:jc w:val="both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Treści szkoleniowe:</w:t>
      </w:r>
    </w:p>
    <w:p w14:paraId="5322B29E" w14:textId="725824C3" w:rsidR="00E706D9" w:rsidRPr="00E706D9" w:rsidRDefault="00E706D9" w:rsidP="00E706D9">
      <w:pPr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1)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Przepisy dotyczące bezpiecznego żeglowania.</w:t>
      </w:r>
    </w:p>
    <w:p w14:paraId="752B3D99" w14:textId="766BC7F4" w:rsidR="00E706D9" w:rsidRPr="00E706D9" w:rsidRDefault="00E706D9" w:rsidP="00E706D9">
      <w:pPr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2)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Węzły użytkowe.</w:t>
      </w:r>
    </w:p>
    <w:p w14:paraId="16E70D7F" w14:textId="25E11268" w:rsidR="00E706D9" w:rsidRPr="00E706D9" w:rsidRDefault="00E706D9" w:rsidP="00E706D9">
      <w:pPr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3)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Ekran nawigacyjny symulatora - opis skrótów na ekranie kompasu, GPSu i mapy.</w:t>
      </w:r>
    </w:p>
    <w:p w14:paraId="38FD7ECE" w14:textId="2F52CB29" w:rsidR="00E706D9" w:rsidRPr="00E706D9" w:rsidRDefault="00E706D9" w:rsidP="00E706D9">
      <w:pPr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4)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Trymowanie żagli.</w:t>
      </w:r>
    </w:p>
    <w:p w14:paraId="6FF66B1E" w14:textId="192C8BB4" w:rsidR="00E706D9" w:rsidRPr="00E706D9" w:rsidRDefault="00BE23B4" w:rsidP="00BE23B4">
      <w:pPr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5) </w:t>
      </w:r>
      <w:r w:rsidR="00E706D9"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Historia, tradycje i pieśni żeglarskie.</w:t>
      </w:r>
    </w:p>
    <w:p w14:paraId="5B784646" w14:textId="77777777" w:rsidR="00E706D9" w:rsidRP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302CC652" w14:textId="77777777" w:rsidR="00E706D9" w:rsidRPr="00E706D9" w:rsidRDefault="00F06699" w:rsidP="00E706D9">
      <w:pPr>
        <w:spacing w:line="360" w:lineRule="auto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4"/>
          <w:id w:val="1844132819"/>
        </w:sdtPr>
        <w:sdtContent/>
      </w:sdt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5"/>
          <w:id w:val="1814830534"/>
        </w:sdtPr>
        <w:sdtContent/>
      </w:sdt>
      <w:r w:rsidR="00E706D9"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udostępni Wykonawcy narzędzie (symulator żeglowania) do realizacji powyższego szkolenia. Zamawiający dopuszcza możliwość użycia narzędzia (symulatora żeglowania), którym dysponuje Wykonawca.</w:t>
      </w:r>
    </w:p>
    <w:p w14:paraId="40C0F7EE" w14:textId="77777777" w:rsidR="00E706D9" w:rsidRPr="00E706D9" w:rsidRDefault="00E706D9" w:rsidP="00E706D9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45F42B85" w14:textId="4F3D71D2" w:rsidR="00E706D9" w:rsidRPr="00E706D9" w:rsidRDefault="00E706D9" w:rsidP="00E706D9">
      <w:pPr>
        <w:spacing w:line="360" w:lineRule="auto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Warsztaty zostaną zrealizowane w dniach: 29.04.2023, 20.05.2023, 17.06.2023 w godzinach 10:00 - 11:30. </w:t>
      </w:r>
    </w:p>
    <w:p w14:paraId="433660C9" w14:textId="77777777" w:rsidR="00E706D9" w:rsidRP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182BE633" w14:textId="77777777" w:rsidR="00E706D9" w:rsidRPr="00E706D9" w:rsidRDefault="00E706D9" w:rsidP="00E706D9">
      <w:pPr>
        <w:spacing w:line="360" w:lineRule="auto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zakłada możliwość zmiany terminów i/lub godzin w przypadku np. braku uczestników, choroby pracownika Zamawiającego, choroby Wykonawcy, siły wyższej itp.</w:t>
      </w:r>
    </w:p>
    <w:p w14:paraId="672AEA92" w14:textId="77777777" w:rsidR="00E706D9" w:rsidRPr="00E706D9" w:rsidRDefault="00E706D9" w:rsidP="00E706D9">
      <w:pPr>
        <w:spacing w:line="360" w:lineRule="auto"/>
        <w:ind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68D81BFD" w14:textId="796ED4A0" w:rsidR="00E706D9" w:rsidRPr="00BE23B4" w:rsidRDefault="00E706D9" w:rsidP="00BE23B4">
      <w:pPr>
        <w:numPr>
          <w:ilvl w:val="0"/>
          <w:numId w:val="75"/>
        </w:numPr>
        <w:spacing w:line="360" w:lineRule="auto"/>
        <w:ind w:left="0" w:hanging="567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Szkolenia organizowane są ramach projektu pn. „Pomorskie Żagle Wiedzy – wsparcie regionalne”, współfinansowanego ze środków Unii Europejskiej w ramach Regionalnego Programu Operacyjnego Województwa Pomorskiego 2014-2020</w:t>
      </w:r>
    </w:p>
    <w:p w14:paraId="45B69E23" w14:textId="77777777" w:rsidR="00E706D9" w:rsidRPr="00E706D9" w:rsidRDefault="00E706D9" w:rsidP="00BE23B4">
      <w:pPr>
        <w:numPr>
          <w:ilvl w:val="0"/>
          <w:numId w:val="75"/>
        </w:numPr>
        <w:spacing w:line="360" w:lineRule="auto"/>
        <w:ind w:left="0" w:hanging="567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Forma doskonalenia przeznaczona jest dla</w:t>
      </w:r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6"/>
          <w:id w:val="434872633"/>
        </w:sdtPr>
        <w:sdtContent/>
      </w:sdt>
      <w:r w:rsidRPr="00E706D9">
        <w:rPr>
          <w:rFonts w:ascii="Fira Sans" w:eastAsia="Calibri" w:hAnsi="Fira Sans" w:cs="Calibri"/>
          <w:color w:val="000000" w:themeColor="text1"/>
          <w:sz w:val="20"/>
          <w:szCs w:val="20"/>
        </w:rPr>
        <w:t xml:space="preserve">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nauczycielek i nauczycieli szkół podstawowych będących uczestnikami sieci współpracy animatorów z następującego obszaru województwa pomorskiego - miasta: Gdańsk, Gdynia, Sopot oraz powiaty: kościerski, sztumski, malborski i nowodworski oraz pozostałych powiatów w przypadku wolnych miejsc. Zamawiający zapewni wskazane osoby.</w:t>
      </w:r>
    </w:p>
    <w:p w14:paraId="13946502" w14:textId="0DAA106B" w:rsidR="00E706D9" w:rsidRPr="00BE23B4" w:rsidRDefault="00F0669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7"/>
          <w:id w:val="1813746075"/>
        </w:sdtPr>
        <w:sdtContent/>
      </w:sdt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8"/>
          <w:id w:val="1238359409"/>
        </w:sdtPr>
        <w:sdtContent/>
      </w:sdt>
      <w:r w:rsidR="00E706D9"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Forma doskonalenia odbywać się będzie w Pomorskim Centrum Edukacji Nauczycieli </w:t>
      </w:r>
      <w:r w:rsidR="00E706D9"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br/>
        <w:t>w Gdańsku, al. Gen. J. Hallera 14. W przypadku trudności z realizacją szkolenia w formie stacjonarnej dopuszcza się możliwość realizacji w formie zdalnej lub hybrydowej.</w:t>
      </w:r>
    </w:p>
    <w:p w14:paraId="3EF3B82C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Zamawiający szacuje przeszkolić maksymalnie 20 osób </w:t>
      </w:r>
      <w:sdt>
        <w:sdtPr>
          <w:rPr>
            <w:rFonts w:ascii="Fira Sans" w:hAnsi="Fira Sans"/>
            <w:color w:val="000000" w:themeColor="text1"/>
            <w:sz w:val="20"/>
            <w:szCs w:val="20"/>
          </w:rPr>
          <w:tag w:val="goog_rdk_9"/>
          <w:id w:val="-1244953869"/>
        </w:sdtPr>
        <w:sdtContent/>
      </w:sdt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w ramach każdego spotkania.</w:t>
      </w:r>
    </w:p>
    <w:p w14:paraId="26ED3D89" w14:textId="7901BD48" w:rsid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Zamawiający ustala, że cena brutto za </w:t>
      </w:r>
      <w:r w:rsidR="0070756F">
        <w:rPr>
          <w:rFonts w:ascii="Fira Sans" w:eastAsia="Fira Sans" w:hAnsi="Fira Sans" w:cs="Fira Sans"/>
          <w:color w:val="000000" w:themeColor="text1"/>
          <w:sz w:val="20"/>
          <w:szCs w:val="20"/>
        </w:rPr>
        <w:t>trzy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szkolenia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dla grupy osób jest ceną ryczałtową, nie może ulec zmianie. Zamawiający zapłaci tylko za faktycznie zrealizowane zamówienie. Przy czym, za jedn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>o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</w:t>
      </w:r>
      <w:r w:rsidR="00BE23B4">
        <w:rPr>
          <w:rFonts w:ascii="Fira Sans" w:eastAsia="Fira Sans" w:hAnsi="Fira Sans" w:cs="Fira Sans"/>
          <w:color w:val="000000" w:themeColor="text1"/>
          <w:sz w:val="20"/>
          <w:szCs w:val="20"/>
        </w:rPr>
        <w:t>szkolenia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należy uznać formę doskonalenia odbywającą się przez 2 godziny dydaktyczne. </w:t>
      </w:r>
    </w:p>
    <w:p w14:paraId="2A4DC992" w14:textId="6B13E8B1" w:rsidR="00BE23B4" w:rsidRPr="00E706D9" w:rsidRDefault="00BE23B4" w:rsidP="00BE23B4">
      <w:pPr>
        <w:tabs>
          <w:tab w:val="left" w:pos="480"/>
        </w:tabs>
        <w:spacing w:line="360" w:lineRule="auto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Łącznie forma doskonalenia odbywać się będzie przez </w:t>
      </w:r>
      <w:r w:rsidR="0070756F">
        <w:rPr>
          <w:rFonts w:ascii="Fira Sans" w:eastAsia="Fira Sans" w:hAnsi="Fira Sans" w:cs="Fira Sans"/>
          <w:color w:val="000000" w:themeColor="text1"/>
          <w:sz w:val="20"/>
          <w:szCs w:val="20"/>
        </w:rPr>
        <w:t>6</w:t>
      </w:r>
      <w:r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 godzin dydaktycznych (</w:t>
      </w:r>
      <w:r w:rsidR="0070756F">
        <w:rPr>
          <w:rFonts w:ascii="Fira Sans" w:eastAsia="Fira Sans" w:hAnsi="Fira Sans" w:cs="Fira Sans"/>
          <w:color w:val="000000" w:themeColor="text1"/>
          <w:sz w:val="20"/>
          <w:szCs w:val="20"/>
        </w:rPr>
        <w:t>3</w:t>
      </w:r>
      <w:r>
        <w:rPr>
          <w:rFonts w:ascii="Fira Sans" w:eastAsia="Fira Sans" w:hAnsi="Fira Sans" w:cs="Fira Sans"/>
          <w:color w:val="000000" w:themeColor="text1"/>
          <w:sz w:val="20"/>
          <w:szCs w:val="20"/>
        </w:rPr>
        <w:t>x2h).</w:t>
      </w:r>
    </w:p>
    <w:p w14:paraId="765E8A88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Wykonawca nie ponosi kosztów powielania materiałów dla uczestników. </w:t>
      </w:r>
    </w:p>
    <w:p w14:paraId="23F5747A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Wszystkie materiały muszą spełniać następujące wymagania:</w:t>
      </w:r>
    </w:p>
    <w:p w14:paraId="1A82238C" w14:textId="77777777" w:rsidR="00E706D9" w:rsidRPr="00E706D9" w:rsidRDefault="00E706D9" w:rsidP="00BE23B4">
      <w:pPr>
        <w:numPr>
          <w:ilvl w:val="0"/>
          <w:numId w:val="76"/>
        </w:numPr>
        <w:tabs>
          <w:tab w:val="left" w:pos="720"/>
          <w:tab w:val="left" w:pos="1080"/>
          <w:tab w:val="left" w:pos="1260"/>
        </w:tabs>
        <w:spacing w:line="360" w:lineRule="auto"/>
        <w:ind w:left="0" w:hanging="567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być opracowane zgodnie z tematyką formy doskonalenia,</w:t>
      </w:r>
    </w:p>
    <w:p w14:paraId="0D9A6051" w14:textId="39839BAA" w:rsidR="00E706D9" w:rsidRPr="00E706D9" w:rsidRDefault="00E706D9" w:rsidP="00BE23B4">
      <w:pPr>
        <w:numPr>
          <w:ilvl w:val="0"/>
          <w:numId w:val="76"/>
        </w:numPr>
        <w:tabs>
          <w:tab w:val="left" w:pos="900"/>
          <w:tab w:val="left" w:pos="126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być oznaczone następującą informacją: „Materiały szkoleniowe – Pomorskie Żagle Wiedzy, Wsparcie Regionalne. Sieć animatorów” . Data: -</w:t>
      </w:r>
      <w:r w:rsidR="0070756F">
        <w:rPr>
          <w:rFonts w:ascii="Fira Sans" w:eastAsia="Fira Sans" w:hAnsi="Fira Sans" w:cs="Fira Sans"/>
          <w:color w:val="000000" w:themeColor="text1"/>
          <w:sz w:val="20"/>
          <w:szCs w:val="20"/>
        </w:rPr>
        <w:t>29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.04.2023 - 17.06.2023”</w:t>
      </w:r>
      <w:r w:rsidRPr="00E706D9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oraz oznaczone zgodnie z „Wytycznymi w zakresie informacji i promocji projektów dofinansowanych w ramach Regionalnego Programu Operacyjnego Województwa Pomorskiego na lata 2014-2020”.</w:t>
      </w:r>
    </w:p>
    <w:p w14:paraId="766DCE93" w14:textId="77777777" w:rsidR="00E706D9" w:rsidRPr="00E706D9" w:rsidRDefault="00E706D9" w:rsidP="00BE23B4">
      <w:pPr>
        <w:widowControl w:val="0"/>
        <w:numPr>
          <w:ilvl w:val="0"/>
          <w:numId w:val="76"/>
        </w:numPr>
        <w:tabs>
          <w:tab w:val="left" w:pos="426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powinny pozwalać na samodzielną edukację z zakresu tematyki formy doskonalenia.</w:t>
      </w:r>
    </w:p>
    <w:p w14:paraId="6D9AE4B8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bookmarkStart w:id="0" w:name="_heading=h.gjdgxs" w:colFirst="0" w:colLast="0"/>
      <w:bookmarkEnd w:id="0"/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zapewni salę szkoleniową wraz z niezbędnym wyposażeniem (np. komputery). Wykonawca z tego tytułu nie ponosi żadnych kosztów. Sala szkoleniowa wyposażona będzie co najmniej w: tablicę interaktywną, laptop, projektor multimedialny, flipchart, flamastry oraz posiadać będzie dostęp do internetu.</w:t>
      </w:r>
    </w:p>
    <w:p w14:paraId="6A4568D8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14:paraId="03D40602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14:paraId="77F71E8A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prowadzi dokumentację niezbędną do realizacji form doskonalenia (np. listy obecności).</w:t>
      </w:r>
    </w:p>
    <w:p w14:paraId="5E5B8D97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7953C4A0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1DAB281C" w14:textId="77777777" w:rsidR="00E706D9" w:rsidRPr="00E706D9" w:rsidRDefault="00E706D9" w:rsidP="00BE23B4">
      <w:pPr>
        <w:numPr>
          <w:ilvl w:val="0"/>
          <w:numId w:val="75"/>
        </w:numPr>
        <w:tabs>
          <w:tab w:val="left" w:pos="480"/>
        </w:tabs>
        <w:spacing w:line="360" w:lineRule="auto"/>
        <w:ind w:left="0" w:hanging="567"/>
        <w:jc w:val="both"/>
        <w:rPr>
          <w:rFonts w:ascii="Fira Sans" w:eastAsia="Fira Sans" w:hAnsi="Fira Sans" w:cs="Fira Sans"/>
          <w:color w:val="000000" w:themeColor="text1"/>
          <w:sz w:val="20"/>
          <w:szCs w:val="20"/>
        </w:rPr>
      </w:pPr>
      <w:r w:rsidRPr="00E706D9">
        <w:rPr>
          <w:rFonts w:ascii="Fira Sans" w:eastAsia="Fira Sans" w:hAnsi="Fira Sans" w:cs="Fira Sans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4A2E88EC" w14:textId="77777777" w:rsidR="00E706D9" w:rsidRPr="00C07D40" w:rsidRDefault="00E706D9" w:rsidP="00E706D9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42D14C12" w14:textId="5AD01EBD" w:rsidR="00EB2A98" w:rsidRPr="003B39A7" w:rsidRDefault="00EB2A98" w:rsidP="00CF3AA1">
      <w:pPr>
        <w:rPr>
          <w:rFonts w:ascii="Fira Sans" w:hAnsi="Fira Sans"/>
        </w:rPr>
      </w:pPr>
    </w:p>
    <w:p w14:paraId="11FF0FCC" w14:textId="49200A45" w:rsidR="0090233D" w:rsidRDefault="0090233D" w:rsidP="009023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304D86C2" w14:textId="031E00A5" w:rsidR="005262B9" w:rsidRPr="003B39A7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  <w:bookmarkStart w:id="1" w:name="_GoBack"/>
      <w:bookmarkEnd w:id="1"/>
    </w:p>
    <w:p w14:paraId="29378004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F06699" w:rsidRDefault="00F06699" w:rsidP="00F74FD7">
      <w:r>
        <w:separator/>
      </w:r>
    </w:p>
  </w:endnote>
  <w:endnote w:type="continuationSeparator" w:id="0">
    <w:p w14:paraId="49778471" w14:textId="77777777" w:rsidR="00F06699" w:rsidRDefault="00F0669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4027F3CE" w:rsidR="00F06699" w:rsidRDefault="00F06699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04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B88F6D8" w14:textId="648AD22C" w:rsidR="00F06699" w:rsidRDefault="00F06699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F06699" w:rsidRDefault="00F0669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F06699" w:rsidRDefault="00F06699" w:rsidP="00F74FD7">
      <w:r>
        <w:separator/>
      </w:r>
    </w:p>
  </w:footnote>
  <w:footnote w:type="continuationSeparator" w:id="0">
    <w:p w14:paraId="1ABCC747" w14:textId="77777777" w:rsidR="00F06699" w:rsidRDefault="00F0669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F06699" w:rsidRDefault="00F06699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F06699" w:rsidRPr="008D73B5" w:rsidRDefault="00F06699" w:rsidP="0021549A">
    <w:pPr>
      <w:pStyle w:val="Nagwek"/>
    </w:pPr>
  </w:p>
  <w:p w14:paraId="333DAACC" w14:textId="77777777" w:rsidR="00F06699" w:rsidRPr="00EF7576" w:rsidRDefault="00F06699" w:rsidP="0021549A">
    <w:pPr>
      <w:pStyle w:val="Nagwek"/>
    </w:pPr>
  </w:p>
  <w:p w14:paraId="5FCE1705" w14:textId="77777777" w:rsidR="00F06699" w:rsidRPr="006A63B5" w:rsidRDefault="00F06699" w:rsidP="0021549A">
    <w:pPr>
      <w:pStyle w:val="Nagwek"/>
    </w:pPr>
  </w:p>
  <w:p w14:paraId="0055FC87" w14:textId="77777777" w:rsidR="00F06699" w:rsidRPr="00AC16D6" w:rsidRDefault="00F06699" w:rsidP="0021549A">
    <w:pPr>
      <w:pStyle w:val="Nagwek"/>
    </w:pPr>
  </w:p>
  <w:p w14:paraId="7DC5751F" w14:textId="77777777" w:rsidR="00F06699" w:rsidRPr="00BF3C6A" w:rsidRDefault="00F06699" w:rsidP="0021549A">
    <w:pPr>
      <w:pStyle w:val="Nagwek"/>
    </w:pPr>
  </w:p>
  <w:p w14:paraId="1829744F" w14:textId="5BE50E1C" w:rsidR="00F06699" w:rsidRPr="0021549A" w:rsidRDefault="00F06699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6"/>
  </w:num>
  <w:num w:numId="11">
    <w:abstractNumId w:val="23"/>
  </w:num>
  <w:num w:numId="12">
    <w:abstractNumId w:val="2"/>
  </w:num>
  <w:num w:numId="13">
    <w:abstractNumId w:val="78"/>
  </w:num>
  <w:num w:numId="14">
    <w:abstractNumId w:val="53"/>
  </w:num>
  <w:num w:numId="15">
    <w:abstractNumId w:val="49"/>
  </w:num>
  <w:num w:numId="16">
    <w:abstractNumId w:val="32"/>
  </w:num>
  <w:num w:numId="17">
    <w:abstractNumId w:val="47"/>
  </w:num>
  <w:num w:numId="18">
    <w:abstractNumId w:val="66"/>
  </w:num>
  <w:num w:numId="19">
    <w:abstractNumId w:val="65"/>
  </w:num>
  <w:num w:numId="20">
    <w:abstractNumId w:val="45"/>
  </w:num>
  <w:num w:numId="21">
    <w:abstractNumId w:val="25"/>
  </w:num>
  <w:num w:numId="22">
    <w:abstractNumId w:val="72"/>
  </w:num>
  <w:num w:numId="23">
    <w:abstractNumId w:val="41"/>
  </w:num>
  <w:num w:numId="24">
    <w:abstractNumId w:val="38"/>
  </w:num>
  <w:num w:numId="25">
    <w:abstractNumId w:val="19"/>
  </w:num>
  <w:num w:numId="26">
    <w:abstractNumId w:val="7"/>
  </w:num>
  <w:num w:numId="27">
    <w:abstractNumId w:val="35"/>
  </w:num>
  <w:num w:numId="28">
    <w:abstractNumId w:val="42"/>
  </w:num>
  <w:num w:numId="29">
    <w:abstractNumId w:val="73"/>
  </w:num>
  <w:num w:numId="30">
    <w:abstractNumId w:val="0"/>
  </w:num>
  <w:num w:numId="31">
    <w:abstractNumId w:val="3"/>
  </w:num>
  <w:num w:numId="32">
    <w:abstractNumId w:val="22"/>
  </w:num>
  <w:num w:numId="33">
    <w:abstractNumId w:val="40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8"/>
  </w:num>
  <w:num w:numId="38">
    <w:abstractNumId w:val="14"/>
  </w:num>
  <w:num w:numId="39">
    <w:abstractNumId w:val="15"/>
  </w:num>
  <w:num w:numId="40">
    <w:abstractNumId w:val="50"/>
  </w:num>
  <w:num w:numId="41">
    <w:abstractNumId w:val="62"/>
  </w:num>
  <w:num w:numId="42">
    <w:abstractNumId w:val="74"/>
  </w:num>
  <w:num w:numId="43">
    <w:abstractNumId w:val="75"/>
  </w:num>
  <w:num w:numId="44">
    <w:abstractNumId w:val="8"/>
  </w:num>
  <w:num w:numId="45">
    <w:abstractNumId w:val="68"/>
  </w:num>
  <w:num w:numId="46">
    <w:abstractNumId w:val="79"/>
  </w:num>
  <w:num w:numId="47">
    <w:abstractNumId w:val="57"/>
  </w:num>
  <w:num w:numId="48">
    <w:abstractNumId w:val="44"/>
  </w:num>
  <w:num w:numId="49">
    <w:abstractNumId w:val="36"/>
  </w:num>
  <w:num w:numId="50">
    <w:abstractNumId w:val="11"/>
  </w:num>
  <w:num w:numId="51">
    <w:abstractNumId w:val="16"/>
  </w:num>
  <w:num w:numId="52">
    <w:abstractNumId w:val="37"/>
  </w:num>
  <w:num w:numId="53">
    <w:abstractNumId w:val="51"/>
  </w:num>
  <w:num w:numId="54">
    <w:abstractNumId w:val="54"/>
  </w:num>
  <w:num w:numId="55">
    <w:abstractNumId w:val="12"/>
  </w:num>
  <w:num w:numId="56">
    <w:abstractNumId w:val="21"/>
  </w:num>
  <w:num w:numId="57">
    <w:abstractNumId w:val="61"/>
  </w:num>
  <w:num w:numId="58">
    <w:abstractNumId w:val="31"/>
  </w:num>
  <w:num w:numId="59">
    <w:abstractNumId w:val="28"/>
  </w:num>
  <w:num w:numId="60">
    <w:abstractNumId w:val="18"/>
  </w:num>
  <w:num w:numId="61">
    <w:abstractNumId w:val="13"/>
  </w:num>
  <w:num w:numId="62">
    <w:abstractNumId w:val="60"/>
  </w:num>
  <w:num w:numId="63">
    <w:abstractNumId w:val="10"/>
  </w:num>
  <w:num w:numId="64">
    <w:abstractNumId w:val="64"/>
  </w:num>
  <w:num w:numId="65">
    <w:abstractNumId w:val="20"/>
  </w:num>
  <w:num w:numId="66">
    <w:abstractNumId w:val="17"/>
  </w:num>
  <w:num w:numId="67">
    <w:abstractNumId w:val="67"/>
  </w:num>
  <w:num w:numId="68">
    <w:abstractNumId w:val="33"/>
  </w:num>
  <w:num w:numId="69">
    <w:abstractNumId w:val="43"/>
  </w:num>
  <w:num w:numId="70">
    <w:abstractNumId w:val="46"/>
  </w:num>
  <w:num w:numId="71">
    <w:abstractNumId w:val="52"/>
  </w:num>
  <w:num w:numId="72">
    <w:abstractNumId w:val="63"/>
  </w:num>
  <w:num w:numId="73">
    <w:abstractNumId w:val="69"/>
  </w:num>
  <w:num w:numId="74">
    <w:abstractNumId w:val="9"/>
  </w:num>
  <w:num w:numId="75">
    <w:abstractNumId w:val="71"/>
  </w:num>
  <w:num w:numId="76">
    <w:abstractNumId w:val="77"/>
  </w:num>
  <w:num w:numId="77">
    <w:abstractNumId w:val="26"/>
  </w:num>
  <w:num w:numId="78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D6A71"/>
    <w:rsid w:val="002E0046"/>
    <w:rsid w:val="002F4499"/>
    <w:rsid w:val="0030028B"/>
    <w:rsid w:val="003202F2"/>
    <w:rsid w:val="00343956"/>
    <w:rsid w:val="00343AB4"/>
    <w:rsid w:val="003540E1"/>
    <w:rsid w:val="0035472E"/>
    <w:rsid w:val="003576B0"/>
    <w:rsid w:val="003657D7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1FF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6699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435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A347-70AC-4190-9B0A-01F7873F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2023-03-29T11:03:00Z</dcterms:created>
  <dcterms:modified xsi:type="dcterms:W3CDTF">2023-03-29T11:03:00Z</dcterms:modified>
</cp:coreProperties>
</file>