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128440" w14:textId="77777777" w:rsidR="009A2B20" w:rsidRDefault="009A2B20" w:rsidP="009A2B20">
      <w:pPr>
        <w:rPr>
          <w:b/>
        </w:rPr>
      </w:pPr>
    </w:p>
    <w:p w14:paraId="61682D0A" w14:textId="77777777" w:rsidR="009A2B20" w:rsidRPr="009A2B20" w:rsidRDefault="009A2B20" w:rsidP="009A2B20">
      <w:pPr>
        <w:jc w:val="center"/>
        <w:rPr>
          <w:b/>
        </w:rPr>
      </w:pPr>
      <w:r w:rsidRPr="009A2B20">
        <w:rPr>
          <w:b/>
        </w:rPr>
        <w:t>OPIS PRZEDMIOTU ZAMÓWIENIA</w:t>
      </w:r>
    </w:p>
    <w:p w14:paraId="7494D5C3" w14:textId="77777777" w:rsidR="009A2B20" w:rsidRDefault="009A2B20" w:rsidP="009A2B20">
      <w:pPr>
        <w:spacing w:after="120" w:line="300" w:lineRule="auto"/>
        <w:jc w:val="both"/>
      </w:pPr>
    </w:p>
    <w:p w14:paraId="0CD98E5B" w14:textId="77777777" w:rsidR="009A2B20" w:rsidRPr="00712BFE" w:rsidRDefault="009A2B20" w:rsidP="009A2B20">
      <w:pPr>
        <w:pStyle w:val="Akapitzlist"/>
        <w:numPr>
          <w:ilvl w:val="0"/>
          <w:numId w:val="2"/>
        </w:numPr>
        <w:spacing w:after="120" w:line="300" w:lineRule="auto"/>
        <w:ind w:left="426" w:hanging="357"/>
        <w:contextualSpacing w:val="0"/>
        <w:jc w:val="both"/>
      </w:pPr>
      <w:r w:rsidRPr="00712BFE">
        <w:t xml:space="preserve">Przedmiotem zamówienia jest usługa sekwencjonowania DNA metodą </w:t>
      </w:r>
      <w:proofErr w:type="spellStart"/>
      <w:r w:rsidRPr="00712BFE">
        <w:t>Sangera</w:t>
      </w:r>
      <w:proofErr w:type="spellEnd"/>
      <w:r w:rsidRPr="00712BFE">
        <w:t xml:space="preserve"> z próbek DNA przygotowywanych w doświadczeniach Instytutu Biologii, Biotechnologii i Ochrony Środowiska Wydziału Nauk Przyrodniczych, ul. Jagiellońska 28, Katowice.</w:t>
      </w:r>
    </w:p>
    <w:p w14:paraId="1136FDEC" w14:textId="77777777" w:rsidR="009A2B20" w:rsidRDefault="009A2B20" w:rsidP="009A2B20">
      <w:pPr>
        <w:pStyle w:val="Akapitzlist"/>
        <w:numPr>
          <w:ilvl w:val="0"/>
          <w:numId w:val="2"/>
        </w:numPr>
        <w:spacing w:after="120" w:line="300" w:lineRule="auto"/>
        <w:ind w:left="426" w:hanging="357"/>
        <w:contextualSpacing w:val="0"/>
        <w:jc w:val="both"/>
      </w:pPr>
      <w:r>
        <w:t xml:space="preserve">Usługa obejmuje standardową długość odczytów 500-800 nukleotydów, z możliwością odczytów extra </w:t>
      </w:r>
      <w:proofErr w:type="spellStart"/>
      <w:r>
        <w:t>long</w:t>
      </w:r>
      <w:proofErr w:type="spellEnd"/>
      <w:r>
        <w:t xml:space="preserve"> o długości 1000-1100 nukleotydów w zależności od jakości matrycy.</w:t>
      </w:r>
    </w:p>
    <w:p w14:paraId="05B7F771" w14:textId="77777777" w:rsidR="009A2B20" w:rsidRDefault="009A2B20" w:rsidP="009A2B20">
      <w:pPr>
        <w:pStyle w:val="Akapitzlist"/>
        <w:numPr>
          <w:ilvl w:val="0"/>
          <w:numId w:val="2"/>
        </w:numPr>
        <w:spacing w:after="120" w:line="300" w:lineRule="auto"/>
        <w:ind w:left="426" w:hanging="357"/>
        <w:contextualSpacing w:val="0"/>
        <w:jc w:val="both"/>
      </w:pPr>
      <w:r>
        <w:t>Usługa obejmuje również sekwencjonowanie trudnych matryc wymagających specjalnych protokołów lub specjalnych zestawów odczynników. Są to matryce zawierające struktury typu spinki do włosów, matryce bogate w pary GC oraz zawierające motywy powtarzalne i ciągi pojedynczych zasad.</w:t>
      </w:r>
    </w:p>
    <w:p w14:paraId="7D9C6012" w14:textId="77777777" w:rsidR="009A2B20" w:rsidRDefault="009A2B20" w:rsidP="009A2B20">
      <w:pPr>
        <w:pStyle w:val="Akapitzlist"/>
        <w:numPr>
          <w:ilvl w:val="0"/>
          <w:numId w:val="2"/>
        </w:numPr>
        <w:spacing w:after="120" w:line="300" w:lineRule="auto"/>
        <w:ind w:left="426" w:hanging="357"/>
        <w:contextualSpacing w:val="0"/>
        <w:jc w:val="both"/>
      </w:pPr>
      <w:r>
        <w:t xml:space="preserve">Usługa obejmuje także oczyszczenie produktu PCR z nadmiaru starterów lub nukleotydów pozostałych po reakcji PCR np. za pomocą zestawu </w:t>
      </w:r>
      <w:proofErr w:type="spellStart"/>
      <w:r>
        <w:t>Exo</w:t>
      </w:r>
      <w:proofErr w:type="spellEnd"/>
      <w:r>
        <w:t>-Sap.</w:t>
      </w:r>
    </w:p>
    <w:p w14:paraId="731E9151" w14:textId="77777777" w:rsidR="009A2B20" w:rsidRDefault="009A2B20" w:rsidP="009A2B20">
      <w:pPr>
        <w:pStyle w:val="Akapitzlist"/>
        <w:numPr>
          <w:ilvl w:val="0"/>
          <w:numId w:val="2"/>
        </w:numPr>
        <w:spacing w:after="120" w:line="300" w:lineRule="auto"/>
        <w:ind w:left="426" w:hanging="357"/>
        <w:contextualSpacing w:val="0"/>
        <w:jc w:val="both"/>
      </w:pPr>
      <w:r>
        <w:t xml:space="preserve">Przedmiotem zamówienia jest świadczenie </w:t>
      </w:r>
      <w:r w:rsidRPr="00E626F1">
        <w:t>usług badawczych</w:t>
      </w:r>
      <w:r>
        <w:t xml:space="preserve"> związanych z sekwencjonowaniem prób DNA, zgodnie z poniższymi wytycznymi:</w:t>
      </w:r>
    </w:p>
    <w:p w14:paraId="76B9B726" w14:textId="77777777" w:rsidR="009A2B20" w:rsidRDefault="009A2B20" w:rsidP="009A2B20">
      <w:pPr>
        <w:pStyle w:val="Akapitzlist"/>
        <w:numPr>
          <w:ilvl w:val="0"/>
          <w:numId w:val="3"/>
        </w:numPr>
        <w:spacing w:after="120" w:line="300" w:lineRule="auto"/>
        <w:contextualSpacing w:val="0"/>
        <w:jc w:val="both"/>
      </w:pPr>
      <w:r>
        <w:t xml:space="preserve">W ramach usługi możliwość wyboru kilku opcji przesyłania matryc: w pojedynczych probówkach, w </w:t>
      </w:r>
      <w:proofErr w:type="spellStart"/>
      <w:r>
        <w:t>stripach</w:t>
      </w:r>
      <w:proofErr w:type="spellEnd"/>
      <w:r>
        <w:t xml:space="preserve"> 8-probókowych lub na płytkach 96 dołkowych;</w:t>
      </w:r>
    </w:p>
    <w:p w14:paraId="4DB42E35" w14:textId="2B7E6311" w:rsidR="009A2B20" w:rsidRDefault="009A2B20" w:rsidP="009A2B20">
      <w:pPr>
        <w:pStyle w:val="Akapitzlist"/>
        <w:numPr>
          <w:ilvl w:val="0"/>
          <w:numId w:val="3"/>
        </w:numPr>
        <w:spacing w:after="120" w:line="300" w:lineRule="auto"/>
        <w:contextualSpacing w:val="0"/>
        <w:jc w:val="both"/>
      </w:pPr>
      <w:r>
        <w:t xml:space="preserve">Matryce wraz ze starterami i zdjęciem żelu będą wysyłane </w:t>
      </w:r>
      <w:r w:rsidRPr="009A2B20">
        <w:rPr>
          <w:b/>
        </w:rPr>
        <w:t>pocztą kurierską na koszt Wykonawcy</w:t>
      </w:r>
      <w:r>
        <w:t>. Przesyłka próbek z opcją dostawy do Wykonawcy w godzinach porannych (do 10:00</w:t>
      </w:r>
      <w:r w:rsidR="006B31EB">
        <w:t xml:space="preserve"> dnia następnego</w:t>
      </w:r>
      <w:r w:rsidR="006233A6">
        <w:t xml:space="preserve"> po dniu wysłania próbek</w:t>
      </w:r>
      <w:r>
        <w:t>)</w:t>
      </w:r>
      <w:r>
        <w:rPr>
          <w:rStyle w:val="Odwoanieprzypisudolnego"/>
        </w:rPr>
        <w:footnoteReference w:id="1"/>
      </w:r>
      <w:r>
        <w:t>;</w:t>
      </w:r>
    </w:p>
    <w:p w14:paraId="145D7568" w14:textId="77777777" w:rsidR="009A2B20" w:rsidRDefault="009A2B20" w:rsidP="009A2B20">
      <w:pPr>
        <w:pStyle w:val="Akapitzlist"/>
        <w:numPr>
          <w:ilvl w:val="0"/>
          <w:numId w:val="3"/>
        </w:numPr>
        <w:spacing w:after="120" w:line="300" w:lineRule="auto"/>
        <w:contextualSpacing w:val="0"/>
        <w:jc w:val="both"/>
      </w:pPr>
      <w:r>
        <w:t>Opis próbek do sekwencjonowania wykonywany jest za pośrednictwem formularza znajdującego się na stronie internetowej Wykonawcy;</w:t>
      </w:r>
    </w:p>
    <w:p w14:paraId="606DDB90" w14:textId="77777777" w:rsidR="009A2B20" w:rsidRDefault="009A2B20" w:rsidP="009A2B20">
      <w:pPr>
        <w:pStyle w:val="Akapitzlist"/>
        <w:numPr>
          <w:ilvl w:val="0"/>
          <w:numId w:val="3"/>
        </w:numPr>
        <w:spacing w:after="120" w:line="300" w:lineRule="auto"/>
        <w:contextualSpacing w:val="0"/>
        <w:jc w:val="both"/>
      </w:pPr>
      <w:r>
        <w:t>Zamawiający może śledzić na bieżąco status procesowania próbki (w szczególności: dotarcie próbki do Wykonawcy, przekazanie próbki do sekwencjonowania, ewentualne powtórki, wydanie wyniku);</w:t>
      </w:r>
    </w:p>
    <w:p w14:paraId="718D19C5" w14:textId="77777777" w:rsidR="009A2B20" w:rsidRDefault="009A2B20" w:rsidP="009A2B20">
      <w:pPr>
        <w:pStyle w:val="Akapitzlist"/>
        <w:numPr>
          <w:ilvl w:val="0"/>
          <w:numId w:val="3"/>
        </w:numPr>
        <w:spacing w:after="120" w:line="300" w:lineRule="auto"/>
        <w:contextualSpacing w:val="0"/>
        <w:jc w:val="both"/>
      </w:pPr>
      <w:r>
        <w:t xml:space="preserve">Wyniki reakcji sekwencjonowania i rozdziału elektroforetycznego będą umieszczone przez Wykonawcę na jego stronie internetowej w formie pliku tekstowego i </w:t>
      </w:r>
      <w:proofErr w:type="spellStart"/>
      <w:r>
        <w:t>fluorogramu</w:t>
      </w:r>
      <w:proofErr w:type="spellEnd"/>
      <w:r>
        <w:t xml:space="preserve"> w formacie .</w:t>
      </w:r>
      <w:proofErr w:type="spellStart"/>
      <w:r>
        <w:t>abi</w:t>
      </w:r>
      <w:proofErr w:type="spellEnd"/>
      <w:r>
        <w:t xml:space="preserve"> otwieranego np. przez program </w:t>
      </w:r>
      <w:proofErr w:type="spellStart"/>
      <w:r>
        <w:t>FinchTV</w:t>
      </w:r>
      <w:proofErr w:type="spellEnd"/>
      <w:r>
        <w:t xml:space="preserve"> i </w:t>
      </w:r>
      <w:proofErr w:type="spellStart"/>
      <w:r>
        <w:t>Chromas</w:t>
      </w:r>
      <w:proofErr w:type="spellEnd"/>
      <w:r>
        <w:t>;</w:t>
      </w:r>
    </w:p>
    <w:p w14:paraId="4D22A170" w14:textId="77777777" w:rsidR="009A2B20" w:rsidRDefault="009A2B20" w:rsidP="009A2B20">
      <w:pPr>
        <w:pStyle w:val="Akapitzlist"/>
        <w:numPr>
          <w:ilvl w:val="0"/>
          <w:numId w:val="3"/>
        </w:numPr>
        <w:spacing w:after="120" w:line="300" w:lineRule="auto"/>
        <w:contextualSpacing w:val="0"/>
        <w:jc w:val="both"/>
      </w:pPr>
      <w:r>
        <w:lastRenderedPageBreak/>
        <w:t>Zamawiający będzie posiadał na stronie Wykonawcy swoje indywidualne spersonalizowane konto zabezpieczone hasłem. Za pośrednictwem konta Zamawiający będzie mógł śledzić historię wszystkich zleceń sekwencjonowania i faktur.</w:t>
      </w:r>
      <w:r w:rsidRPr="009A2B20">
        <w:t xml:space="preserve"> </w:t>
      </w:r>
    </w:p>
    <w:p w14:paraId="44981DBA" w14:textId="3F4B1107" w:rsidR="009A2B20" w:rsidRDefault="009A2B20" w:rsidP="009A2B20">
      <w:pPr>
        <w:pStyle w:val="Akapitzlist"/>
        <w:numPr>
          <w:ilvl w:val="0"/>
          <w:numId w:val="4"/>
        </w:numPr>
        <w:spacing w:after="120" w:line="300" w:lineRule="auto"/>
        <w:contextualSpacing w:val="0"/>
        <w:jc w:val="both"/>
      </w:pPr>
      <w:bookmarkStart w:id="0" w:name="_Hlk153974781"/>
      <w:r>
        <w:t xml:space="preserve">Czas wykonania zlecenia maksymalnie do </w:t>
      </w:r>
      <w:r w:rsidR="00D95115">
        <w:t>2</w:t>
      </w:r>
      <w:r>
        <w:t xml:space="preserve"> dni roboczych od momentu dostarczenia próbek do Wykonawcy </w:t>
      </w:r>
      <w:bookmarkEnd w:id="0"/>
      <w:r>
        <w:t>za pośrednictwem kuriera wyznaczonego przez Wykonawcę, a zamówionego przez Zamawiającego.</w:t>
      </w:r>
    </w:p>
    <w:p w14:paraId="58DC4577" w14:textId="1561BA01" w:rsidR="00F21D2A" w:rsidRDefault="00F21D2A" w:rsidP="00F21D2A">
      <w:pPr>
        <w:pStyle w:val="Akapitzlist"/>
        <w:numPr>
          <w:ilvl w:val="0"/>
          <w:numId w:val="4"/>
        </w:numPr>
        <w:spacing w:after="120" w:line="300" w:lineRule="auto"/>
        <w:contextualSpacing w:val="0"/>
        <w:jc w:val="both"/>
      </w:pPr>
      <w:r>
        <w:t xml:space="preserve">W przypadku gdy za pierwszym razem nie otrzymano wyniku, przeprowadzenie drugiego badania (jednego powtórzenia sekwencjonowania), które Wykonawca winien uwzględnić w cenie oferty. </w:t>
      </w:r>
    </w:p>
    <w:p w14:paraId="3B22E6A8" w14:textId="08D013B2" w:rsidR="005B20C7" w:rsidRDefault="00422C74" w:rsidP="009A2B20">
      <w:pPr>
        <w:pStyle w:val="Akapitzlist"/>
        <w:numPr>
          <w:ilvl w:val="0"/>
          <w:numId w:val="4"/>
        </w:numPr>
        <w:spacing w:after="120" w:line="300" w:lineRule="auto"/>
        <w:contextualSpacing w:val="0"/>
        <w:jc w:val="both"/>
      </w:pPr>
      <w:r w:rsidRPr="0070209D">
        <w:t>Wykonawca, kt</w:t>
      </w:r>
      <w:r>
        <w:rPr>
          <w:rFonts w:cs="Arial"/>
          <w:szCs w:val="20"/>
          <w:lang w:eastAsia="pl-PL"/>
        </w:rPr>
        <w:t>óry oświadczy, że zapewni bezpłatnie kolejne, dodatkowe powtórzenie sekwencjonowania w przypadku nie otrzymania wyniku przy pierwszym i drugim badaniu otrzyma punkty w kryterium</w:t>
      </w:r>
      <w:r w:rsidRPr="00422C74">
        <w:rPr>
          <w:rFonts w:cs="Arial"/>
          <w:szCs w:val="20"/>
          <w:lang w:eastAsia="pl-PL"/>
        </w:rPr>
        <w:t xml:space="preserve"> </w:t>
      </w:r>
      <w:r>
        <w:rPr>
          <w:rFonts w:cs="Arial"/>
          <w:szCs w:val="20"/>
          <w:lang w:eastAsia="pl-PL"/>
        </w:rPr>
        <w:t xml:space="preserve">oceny ofert: „dodatkowa próba” </w:t>
      </w:r>
      <w:r w:rsidR="005B20C7">
        <w:t xml:space="preserve">zgodnie z rozdz. VII, ust 2. </w:t>
      </w:r>
      <w:r>
        <w:t>pkt 4) Ogłoszenia o zamówieniu.</w:t>
      </w:r>
    </w:p>
    <w:p w14:paraId="3D6A4B16" w14:textId="221CCE18" w:rsidR="00FB29FF" w:rsidRPr="00B95822" w:rsidRDefault="00FB29FF" w:rsidP="009A2B20">
      <w:pPr>
        <w:pStyle w:val="Akapitzlist"/>
        <w:numPr>
          <w:ilvl w:val="0"/>
          <w:numId w:val="4"/>
        </w:numPr>
        <w:spacing w:after="120" w:line="300" w:lineRule="auto"/>
        <w:contextualSpacing w:val="0"/>
        <w:jc w:val="both"/>
      </w:pPr>
      <w:r w:rsidRPr="00B95822">
        <w:t>W przypadku nieotrzymania wyniku przy pierwszym i drugim sekwencjonowaniu (a gdy Wykonawca zaoferował w ofercie, nieodpłatnie kolejne (trzecie) powtórzenie sekwencjonowania</w:t>
      </w:r>
      <w:bookmarkStart w:id="1" w:name="_GoBack"/>
      <w:bookmarkEnd w:id="1"/>
      <w:r w:rsidRPr="00B95822">
        <w:t>, również i przy trzeciej próbie</w:t>
      </w:r>
      <w:r w:rsidR="00697942">
        <w:t>)</w:t>
      </w:r>
      <w:r w:rsidRPr="00B95822">
        <w:t>, Zamawiający ma prawo zgłosić reklamację</w:t>
      </w:r>
      <w:r w:rsidR="00B95822" w:rsidRPr="00B95822">
        <w:t xml:space="preserve"> na koszt Wykonawcy</w:t>
      </w:r>
      <w:r w:rsidR="00837A38">
        <w:t>.</w:t>
      </w:r>
    </w:p>
    <w:p w14:paraId="52AB0B7E" w14:textId="0F876CFF" w:rsidR="009A2B20" w:rsidRDefault="00FB29FF" w:rsidP="009A2B20">
      <w:pPr>
        <w:pStyle w:val="Akapitzlist"/>
        <w:numPr>
          <w:ilvl w:val="0"/>
          <w:numId w:val="4"/>
        </w:numPr>
        <w:spacing w:after="120" w:line="300" w:lineRule="auto"/>
        <w:contextualSpacing w:val="0"/>
        <w:jc w:val="both"/>
      </w:pPr>
      <w:r>
        <w:t xml:space="preserve">Każde kolejne sekwencjonowanie Wykonawca powinien przeprowadzić </w:t>
      </w:r>
      <w:r w:rsidR="009A2B20">
        <w:t>w czasie nie dłuższym niż 2 dni robocze</w:t>
      </w:r>
      <w:r w:rsidR="006233A6">
        <w:t xml:space="preserve"> od poprzedniej próby uzyskania wyniku</w:t>
      </w:r>
      <w:r w:rsidR="009A2B20">
        <w:t>.</w:t>
      </w:r>
    </w:p>
    <w:p w14:paraId="06E4CC60" w14:textId="29DB5890" w:rsidR="009A2B20" w:rsidRPr="00EC38D9" w:rsidRDefault="009A2B20" w:rsidP="009A2B20">
      <w:pPr>
        <w:pStyle w:val="Akapitzlist"/>
        <w:numPr>
          <w:ilvl w:val="0"/>
          <w:numId w:val="4"/>
        </w:numPr>
        <w:spacing w:after="120" w:line="300" w:lineRule="auto"/>
        <w:contextualSpacing w:val="0"/>
        <w:jc w:val="both"/>
      </w:pPr>
      <w:r w:rsidRPr="003301EB">
        <w:t xml:space="preserve">Miejsce przygotowania i nadania próbek: </w:t>
      </w:r>
      <w:bookmarkStart w:id="2" w:name="_Hlk153974840"/>
      <w:r w:rsidRPr="003301EB">
        <w:t>Instytut Biologii, Biotechnologii i Ochrony Środowiska Wydziału Nauk Przyrodniczych, ul. Jagiellońska 28, Katowice</w:t>
      </w:r>
      <w:bookmarkEnd w:id="2"/>
      <w:r w:rsidRPr="003301EB">
        <w:t>.</w:t>
      </w:r>
      <w:r>
        <w:t xml:space="preserve"> Wykonawca wykona sekwencjonowania w jednym laboratorium, zgodnie z wymogami </w:t>
      </w:r>
      <w:r w:rsidRPr="00EC38D9">
        <w:t xml:space="preserve">określonymi w </w:t>
      </w:r>
      <w:proofErr w:type="spellStart"/>
      <w:r w:rsidR="00671310" w:rsidRPr="00EC38D9">
        <w:t>opz</w:t>
      </w:r>
      <w:proofErr w:type="spellEnd"/>
      <w:r w:rsidR="00671310" w:rsidRPr="00EC38D9">
        <w:t>.</w:t>
      </w:r>
    </w:p>
    <w:p w14:paraId="71D65077" w14:textId="6A0F7261" w:rsidR="004E2345" w:rsidRDefault="004E2345" w:rsidP="004E2345">
      <w:pPr>
        <w:pStyle w:val="Akapitzlist"/>
        <w:numPr>
          <w:ilvl w:val="0"/>
          <w:numId w:val="2"/>
        </w:numPr>
        <w:spacing w:line="360" w:lineRule="auto"/>
        <w:ind w:left="426"/>
        <w:jc w:val="both"/>
      </w:pPr>
      <w:bookmarkStart w:id="3" w:name="_Hlk153975236"/>
      <w:r w:rsidRPr="004E2345">
        <w:t xml:space="preserve">Przedmiot zamówienia winien być realizowany przez podmiot posiadający certyfikat wystawiony nie wcześniej niż 2 lata przed upływem terminu składania ofert, potwierdzający biegłość i rzetelność wykonywania techniki sekwencjonowania DNA, wydany przez międzynarodową organizację kontroli jakości, posiadającą akredytację spełniającą normę ISO 17043 (akredytacja organizatorów badań biegłości) lub równoważną, wydaną przez jednostkę akredytującą postępującą zgodnie ze standardami zawartymi w normie ISO/IEC 17011. </w:t>
      </w:r>
    </w:p>
    <w:p w14:paraId="6DA3DF48" w14:textId="77777777" w:rsidR="004E2345" w:rsidRPr="004E2345" w:rsidRDefault="004E2345" w:rsidP="004E2345">
      <w:pPr>
        <w:pStyle w:val="Akapitzlist"/>
      </w:pPr>
    </w:p>
    <w:p w14:paraId="4C10730E" w14:textId="63FC8CC0" w:rsidR="006A793C" w:rsidRPr="00060A06" w:rsidRDefault="006A793C" w:rsidP="009A2B20">
      <w:pPr>
        <w:pStyle w:val="Akapitzlist"/>
        <w:numPr>
          <w:ilvl w:val="0"/>
          <w:numId w:val="2"/>
        </w:numPr>
        <w:spacing w:after="120" w:line="300" w:lineRule="auto"/>
        <w:ind w:left="426" w:hanging="357"/>
        <w:contextualSpacing w:val="0"/>
        <w:jc w:val="both"/>
      </w:pPr>
      <w:r w:rsidRPr="00060A06">
        <w:t>Minimalny poziom zamówienia:</w:t>
      </w:r>
    </w:p>
    <w:p w14:paraId="6AB096DC" w14:textId="12771683" w:rsidR="006A793C" w:rsidRPr="006A793C" w:rsidRDefault="006A793C" w:rsidP="006A793C">
      <w:pPr>
        <w:pStyle w:val="Akapitzlist"/>
        <w:spacing w:after="120" w:line="300" w:lineRule="auto"/>
        <w:ind w:left="426"/>
        <w:contextualSpacing w:val="0"/>
        <w:jc w:val="both"/>
      </w:pPr>
      <w:r w:rsidRPr="006A793C">
        <w:t>- dla sekwencjonowania standardowego: 1</w:t>
      </w:r>
      <w:r w:rsidR="00B0599C">
        <w:t>8</w:t>
      </w:r>
      <w:r w:rsidRPr="006A793C">
        <w:t>0 szt</w:t>
      </w:r>
      <w:r w:rsidR="00516979">
        <w:t>.</w:t>
      </w:r>
    </w:p>
    <w:p w14:paraId="7ABB1D48" w14:textId="7DA75D41" w:rsidR="006A793C" w:rsidRPr="006A793C" w:rsidRDefault="006A793C" w:rsidP="006A793C">
      <w:pPr>
        <w:pStyle w:val="Akapitzlist"/>
        <w:spacing w:after="120" w:line="300" w:lineRule="auto"/>
        <w:ind w:left="426"/>
        <w:contextualSpacing w:val="0"/>
        <w:jc w:val="both"/>
      </w:pPr>
      <w:r w:rsidRPr="006A793C">
        <w:lastRenderedPageBreak/>
        <w:t xml:space="preserve">- dla sekwencjonowania extra </w:t>
      </w:r>
      <w:proofErr w:type="spellStart"/>
      <w:r w:rsidRPr="006A793C">
        <w:t>long</w:t>
      </w:r>
      <w:proofErr w:type="spellEnd"/>
      <w:r w:rsidRPr="006A793C">
        <w:t xml:space="preserve"> run: 2</w:t>
      </w:r>
      <w:r w:rsidR="00B0599C">
        <w:t>3</w:t>
      </w:r>
      <w:r w:rsidRPr="006A793C">
        <w:t>0 szt</w:t>
      </w:r>
      <w:r w:rsidR="00516979">
        <w:t>.</w:t>
      </w:r>
    </w:p>
    <w:p w14:paraId="2B7E0E88" w14:textId="18B17343" w:rsidR="006A793C" w:rsidRPr="006A793C" w:rsidRDefault="006A793C" w:rsidP="006A793C">
      <w:pPr>
        <w:pStyle w:val="Akapitzlist"/>
        <w:spacing w:after="120" w:line="300" w:lineRule="auto"/>
        <w:ind w:left="426"/>
        <w:contextualSpacing w:val="0"/>
        <w:jc w:val="both"/>
      </w:pPr>
      <w:r w:rsidRPr="006A793C">
        <w:t>- sekwencjonowania trudnych matryc: 10 szt</w:t>
      </w:r>
      <w:r w:rsidR="00516979">
        <w:t>.</w:t>
      </w:r>
    </w:p>
    <w:p w14:paraId="2361C1B2" w14:textId="6A9F9380" w:rsidR="006A793C" w:rsidRPr="006A793C" w:rsidRDefault="006A793C" w:rsidP="006A793C">
      <w:pPr>
        <w:pStyle w:val="Akapitzlist"/>
        <w:spacing w:after="120" w:line="300" w:lineRule="auto"/>
        <w:ind w:left="426"/>
        <w:contextualSpacing w:val="0"/>
        <w:jc w:val="both"/>
      </w:pPr>
      <w:r w:rsidRPr="006A793C">
        <w:t xml:space="preserve">- usług oczyszczania matrycy: </w:t>
      </w:r>
      <w:r w:rsidR="00B0599C">
        <w:t>42</w:t>
      </w:r>
      <w:r w:rsidRPr="006A793C">
        <w:t>0 szt</w:t>
      </w:r>
      <w:bookmarkEnd w:id="3"/>
      <w:r w:rsidR="00516979">
        <w:t>.</w:t>
      </w:r>
    </w:p>
    <w:sectPr w:rsidR="006A793C" w:rsidRPr="006A793C" w:rsidSect="00D15C9A">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0"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54DCAA" w16cex:dateUtc="2024-01-19T10:34:00Z"/>
  <w16cex:commentExtensible w16cex:durableId="2954DC73" w16cex:dateUtc="2024-01-19T10:33:00Z"/>
  <w16cex:commentExtensible w16cex:durableId="2954DD91" w16cex:dateUtc="2024-01-19T10:3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0AA5D7" w14:textId="77777777" w:rsidR="0064280E" w:rsidRDefault="0064280E" w:rsidP="009A2B20">
      <w:r>
        <w:separator/>
      </w:r>
    </w:p>
  </w:endnote>
  <w:endnote w:type="continuationSeparator" w:id="0">
    <w:p w14:paraId="3477BDD4" w14:textId="77777777" w:rsidR="0064280E" w:rsidRDefault="0064280E" w:rsidP="009A2B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PT Sans">
    <w:altName w:val="Corbel"/>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415044" w14:textId="77777777" w:rsidR="00D125E5" w:rsidRDefault="00D125E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2"/>
      <w:gridCol w:w="7490"/>
    </w:tblGrid>
    <w:tr w:rsidR="00D15C9A" w:rsidRPr="003E75EA" w14:paraId="3300CBD5" w14:textId="77777777" w:rsidTr="00D15C9A">
      <w:tc>
        <w:tcPr>
          <w:tcW w:w="1582" w:type="dxa"/>
        </w:tcPr>
        <w:p w14:paraId="139CAB0A" w14:textId="77777777" w:rsidR="00D15C9A" w:rsidRDefault="00D15C9A" w:rsidP="00D15C9A">
          <w:pPr>
            <w:pStyle w:val="Stopka"/>
          </w:pPr>
          <w:r w:rsidRPr="00477C07">
            <w:rPr>
              <w:rFonts w:ascii="PT Sans" w:eastAsia="Calibri" w:hAnsi="PT Sans"/>
              <w:noProof/>
              <w:color w:val="002D59"/>
              <w:sz w:val="26"/>
              <w:szCs w:val="26"/>
            </w:rPr>
            <w:drawing>
              <wp:anchor distT="0" distB="0" distL="114300" distR="114300" simplePos="0" relativeHeight="251663360" behindDoc="1" locked="0" layoutInCell="1" allowOverlap="1" wp14:anchorId="25122273" wp14:editId="4E3E45E0">
                <wp:simplePos x="0" y="0"/>
                <wp:positionH relativeFrom="page">
                  <wp:posOffset>-716915</wp:posOffset>
                </wp:positionH>
                <wp:positionV relativeFrom="page">
                  <wp:posOffset>102870</wp:posOffset>
                </wp:positionV>
                <wp:extent cx="3259455" cy="106680"/>
                <wp:effectExtent l="0" t="0" r="0" b="7620"/>
                <wp:wrapNone/>
                <wp:docPr id="21"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59455" cy="1066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7490" w:type="dxa"/>
        </w:tcPr>
        <w:p w14:paraId="7C5A65D0" w14:textId="77777777" w:rsidR="00D15C9A" w:rsidRPr="003E75EA" w:rsidRDefault="00D15C9A" w:rsidP="00D15C9A">
          <w:pPr>
            <w:pStyle w:val="Stopka"/>
            <w:ind w:left="-1596" w:firstLine="1596"/>
            <w:jc w:val="center"/>
            <w:rPr>
              <w:lang w:val="en-US"/>
            </w:rPr>
          </w:pPr>
        </w:p>
      </w:tc>
    </w:tr>
  </w:tbl>
  <w:p w14:paraId="40987A2E" w14:textId="77777777" w:rsidR="00D15C9A" w:rsidRPr="00477C07" w:rsidRDefault="00D15C9A" w:rsidP="00D15C9A">
    <w:pPr>
      <w:tabs>
        <w:tab w:val="center" w:pos="4536"/>
        <w:tab w:val="right" w:pos="9072"/>
      </w:tabs>
      <w:jc w:val="right"/>
      <w:rPr>
        <w:rFonts w:ascii="Calibri" w:eastAsia="Times New Roman" w:hAnsi="Calibri" w:cs="Times New Roman"/>
        <w:sz w:val="16"/>
        <w:szCs w:val="16"/>
      </w:rPr>
    </w:pPr>
    <w:r w:rsidRPr="00477C07">
      <w:rPr>
        <w:rFonts w:ascii="PT Sans" w:eastAsia="Calibri" w:hAnsi="PT Sans" w:cs="Times New Roman"/>
        <w:noProof/>
        <w:color w:val="002D59"/>
        <w:sz w:val="26"/>
        <w:szCs w:val="26"/>
        <w:lang w:eastAsia="pl-PL"/>
      </w:rPr>
      <w:drawing>
        <wp:anchor distT="0" distB="0" distL="114300" distR="114300" simplePos="0" relativeHeight="251662336" behindDoc="1" locked="0" layoutInCell="1" allowOverlap="1" wp14:anchorId="44428337" wp14:editId="52CFBEC1">
          <wp:simplePos x="0" y="0"/>
          <wp:positionH relativeFrom="page">
            <wp:posOffset>4493260</wp:posOffset>
          </wp:positionH>
          <wp:positionV relativeFrom="page">
            <wp:posOffset>8714105</wp:posOffset>
          </wp:positionV>
          <wp:extent cx="2292350" cy="1489710"/>
          <wp:effectExtent l="0" t="0" r="0" b="0"/>
          <wp:wrapNone/>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69669" t="86062"/>
                  <a:stretch/>
                </pic:blipFill>
                <pic:spPr bwMode="auto">
                  <a:xfrm>
                    <a:off x="0" y="0"/>
                    <a:ext cx="2292350" cy="148971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sdt>
    <w:sdtPr>
      <w:rPr>
        <w:rFonts w:ascii="Calibri" w:eastAsia="Times New Roman" w:hAnsi="Calibri" w:cs="Times New Roman"/>
        <w:sz w:val="16"/>
        <w:szCs w:val="16"/>
      </w:rPr>
      <w:id w:val="910434631"/>
      <w:docPartObj>
        <w:docPartGallery w:val="Page Numbers (Bottom of Page)"/>
        <w:docPartUnique/>
      </w:docPartObj>
    </w:sdtPr>
    <w:sdtEndPr>
      <w:rPr>
        <w:rFonts w:ascii="Times New Roman" w:hAnsi="Times New Roman"/>
        <w:lang w:val="en-US" w:eastAsia="pl-PL"/>
      </w:rPr>
    </w:sdtEndPr>
    <w:sdtContent>
      <w:p w14:paraId="3493FB59" w14:textId="77777777" w:rsidR="00D15C9A" w:rsidRPr="00D15C9A" w:rsidRDefault="00D15C9A" w:rsidP="00D15C9A">
        <w:pPr>
          <w:tabs>
            <w:tab w:val="center" w:pos="4536"/>
            <w:tab w:val="right" w:pos="9072"/>
          </w:tabs>
          <w:rPr>
            <w:rFonts w:ascii="Bahnschrift" w:eastAsia="Calibri" w:hAnsi="Bahnschrift" w:cs="Times New Roman"/>
            <w:color w:val="002D59"/>
            <w:sz w:val="16"/>
            <w:szCs w:val="16"/>
          </w:rPr>
        </w:pPr>
        <w:r w:rsidRPr="00D15C9A">
          <w:rPr>
            <w:rFonts w:ascii="Bahnschrift" w:eastAsia="Calibri" w:hAnsi="Bahnschrift" w:cs="Times New Roman"/>
            <w:color w:val="002D59"/>
            <w:sz w:val="16"/>
            <w:szCs w:val="16"/>
          </w:rPr>
          <w:t>Uniwersytet Śląski w Katowicach</w:t>
        </w:r>
      </w:p>
      <w:p w14:paraId="2C1E477F" w14:textId="77777777" w:rsidR="00D15C9A" w:rsidRPr="00D15C9A" w:rsidRDefault="00D15C9A" w:rsidP="00D15C9A">
        <w:pPr>
          <w:tabs>
            <w:tab w:val="center" w:pos="4536"/>
            <w:tab w:val="right" w:pos="9072"/>
          </w:tabs>
          <w:spacing w:line="200" w:lineRule="exact"/>
          <w:rPr>
            <w:rFonts w:ascii="Bahnschrift" w:eastAsia="Calibri" w:hAnsi="Bahnschrift" w:cs="Times New Roman"/>
            <w:color w:val="002D59"/>
            <w:sz w:val="16"/>
            <w:szCs w:val="16"/>
          </w:rPr>
        </w:pPr>
        <w:r w:rsidRPr="00D15C9A">
          <w:rPr>
            <w:rFonts w:ascii="Bahnschrift" w:eastAsia="Calibri" w:hAnsi="Bahnschrift" w:cs="Times New Roman"/>
            <w:color w:val="002D59"/>
            <w:sz w:val="16"/>
            <w:szCs w:val="16"/>
          </w:rPr>
          <w:t>Dział Zamówień Publicznych</w:t>
        </w:r>
      </w:p>
      <w:p w14:paraId="20A99587" w14:textId="77777777" w:rsidR="00D15C9A" w:rsidRPr="00D15C9A" w:rsidRDefault="00D15C9A" w:rsidP="00D15C9A">
        <w:pPr>
          <w:tabs>
            <w:tab w:val="center" w:pos="4536"/>
            <w:tab w:val="right" w:pos="9072"/>
          </w:tabs>
          <w:spacing w:line="200" w:lineRule="exact"/>
          <w:rPr>
            <w:rFonts w:ascii="Bahnschrift" w:eastAsia="Calibri" w:hAnsi="Bahnschrift" w:cs="Times New Roman"/>
            <w:color w:val="002D59"/>
            <w:sz w:val="16"/>
            <w:szCs w:val="16"/>
          </w:rPr>
        </w:pPr>
        <w:r w:rsidRPr="00D15C9A">
          <w:rPr>
            <w:rFonts w:ascii="Bahnschrift" w:eastAsia="Calibri" w:hAnsi="Bahnschrift" w:cs="Times New Roman"/>
            <w:color w:val="002D59"/>
            <w:sz w:val="16"/>
            <w:szCs w:val="16"/>
          </w:rPr>
          <w:t>ul. Bankowa 12, 40-007 Katowice</w:t>
        </w:r>
      </w:p>
      <w:p w14:paraId="24DA0CF9" w14:textId="77777777" w:rsidR="00D15C9A" w:rsidRPr="00D15C9A" w:rsidRDefault="00D15C9A" w:rsidP="00D15C9A">
        <w:pPr>
          <w:tabs>
            <w:tab w:val="center" w:pos="4536"/>
            <w:tab w:val="right" w:pos="9072"/>
          </w:tabs>
          <w:spacing w:line="200" w:lineRule="exact"/>
          <w:rPr>
            <w:rFonts w:ascii="Bahnschrift" w:eastAsia="Calibri" w:hAnsi="Bahnschrift" w:cs="Times New Roman"/>
            <w:color w:val="002D59"/>
            <w:sz w:val="16"/>
            <w:szCs w:val="16"/>
            <w:u w:val="single"/>
            <w:lang w:val="de-DE"/>
          </w:rPr>
        </w:pPr>
        <w:r w:rsidRPr="00D15C9A">
          <w:rPr>
            <w:rFonts w:ascii="Bahnschrift" w:eastAsia="Calibri" w:hAnsi="Bahnschrift" w:cs="Times New Roman"/>
            <w:color w:val="002D59"/>
            <w:sz w:val="16"/>
            <w:szCs w:val="16"/>
            <w:lang w:val="de-DE"/>
          </w:rPr>
          <w:t xml:space="preserve">tel.: 32 359 13 34, </w:t>
        </w:r>
        <w:proofErr w:type="spellStart"/>
        <w:r w:rsidRPr="00D15C9A">
          <w:rPr>
            <w:rFonts w:ascii="Bahnschrift" w:eastAsia="Calibri" w:hAnsi="Bahnschrift" w:cs="Times New Roman"/>
            <w:color w:val="002D59"/>
            <w:sz w:val="16"/>
            <w:szCs w:val="16"/>
            <w:lang w:val="de-DE"/>
          </w:rPr>
          <w:t>e-mail</w:t>
        </w:r>
        <w:proofErr w:type="spellEnd"/>
        <w:r w:rsidRPr="00D15C9A">
          <w:rPr>
            <w:rFonts w:ascii="Bahnschrift" w:eastAsia="Calibri" w:hAnsi="Bahnschrift" w:cs="Times New Roman"/>
            <w:color w:val="002D59"/>
            <w:sz w:val="16"/>
            <w:szCs w:val="16"/>
            <w:lang w:val="de-DE"/>
          </w:rPr>
          <w:t>: dzp@us.edu.pl</w:t>
        </w:r>
      </w:p>
      <w:p w14:paraId="5C307762" w14:textId="77777777" w:rsidR="00D15C9A" w:rsidRPr="00D15C9A" w:rsidRDefault="00D15C9A" w:rsidP="00D15C9A">
        <w:pPr>
          <w:tabs>
            <w:tab w:val="left" w:pos="6509"/>
          </w:tabs>
          <w:spacing w:line="200" w:lineRule="exact"/>
          <w:rPr>
            <w:rFonts w:ascii="Bahnschrift" w:eastAsia="Calibri" w:hAnsi="Bahnschrift" w:cs="Times New Roman"/>
            <w:color w:val="002D59"/>
            <w:sz w:val="16"/>
            <w:szCs w:val="16"/>
            <w:lang w:val="de-DE"/>
          </w:rPr>
        </w:pPr>
        <w:r w:rsidRPr="00D15C9A">
          <w:rPr>
            <w:rFonts w:ascii="Bahnschrift" w:eastAsia="Calibri" w:hAnsi="Bahnschrift" w:cs="Times New Roman"/>
            <w:color w:val="002D59"/>
            <w:sz w:val="16"/>
            <w:szCs w:val="16"/>
            <w:lang w:val="de-DE"/>
          </w:rPr>
          <w:tab/>
        </w:r>
      </w:p>
      <w:p w14:paraId="4A60DD04" w14:textId="6FEC40C1" w:rsidR="00D15C9A" w:rsidRPr="00D15C9A" w:rsidRDefault="00D15C9A" w:rsidP="00D15C9A">
        <w:pPr>
          <w:tabs>
            <w:tab w:val="center" w:pos="4536"/>
            <w:tab w:val="right" w:pos="9072"/>
          </w:tabs>
          <w:spacing w:line="200" w:lineRule="exact"/>
          <w:rPr>
            <w:rFonts w:ascii="Bahnschrift" w:eastAsia="Calibri" w:hAnsi="Bahnschrift" w:cs="Times New Roman"/>
            <w:color w:val="002D59"/>
            <w:sz w:val="16"/>
            <w:szCs w:val="16"/>
            <w:lang w:val="de-DE"/>
          </w:rPr>
        </w:pPr>
        <w:r w:rsidRPr="00D15C9A">
          <w:rPr>
            <w:rFonts w:ascii="Bahnschrift" w:hAnsi="Bahnschrift"/>
            <w:noProof/>
            <w:lang w:eastAsia="pl-PL"/>
          </w:rPr>
          <mc:AlternateContent>
            <mc:Choice Requires="wps">
              <w:drawing>
                <wp:anchor distT="0" distB="0" distL="114300" distR="114300" simplePos="0" relativeHeight="251661312" behindDoc="0" locked="0" layoutInCell="0" allowOverlap="1" wp14:anchorId="0215CCA4" wp14:editId="76501F1F">
                  <wp:simplePos x="0" y="0"/>
                  <wp:positionH relativeFrom="rightMargin">
                    <wp:posOffset>-54610</wp:posOffset>
                  </wp:positionH>
                  <wp:positionV relativeFrom="margin">
                    <wp:posOffset>9302750</wp:posOffset>
                  </wp:positionV>
                  <wp:extent cx="456565" cy="450215"/>
                  <wp:effectExtent l="0" t="0" r="635" b="6985"/>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6565" cy="4502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1B086F" w14:textId="77777777" w:rsidR="00D15C9A" w:rsidRPr="00203917" w:rsidRDefault="00D15C9A" w:rsidP="00D15C9A">
                              <w:pPr>
                                <w:rPr>
                                  <w:color w:val="2E74B5" w:themeColor="accent1" w:themeShade="BF"/>
                                  <w:szCs w:val="24"/>
                                </w:rPr>
                              </w:pPr>
                              <w:r w:rsidRPr="00203917">
                                <w:rPr>
                                  <w:color w:val="2E74B5" w:themeColor="accent1" w:themeShade="BF"/>
                                  <w:szCs w:val="24"/>
                                </w:rPr>
                                <w:fldChar w:fldCharType="begin"/>
                              </w:r>
                              <w:r w:rsidRPr="00203917">
                                <w:rPr>
                                  <w:color w:val="2E74B5" w:themeColor="accent1" w:themeShade="BF"/>
                                  <w:szCs w:val="24"/>
                                </w:rPr>
                                <w:instrText>PAGE   \* MERGEFORMAT</w:instrText>
                              </w:r>
                              <w:r w:rsidRPr="00203917">
                                <w:rPr>
                                  <w:color w:val="2E74B5" w:themeColor="accent1" w:themeShade="BF"/>
                                  <w:szCs w:val="24"/>
                                </w:rPr>
                                <w:fldChar w:fldCharType="separate"/>
                              </w:r>
                              <w:r>
                                <w:rPr>
                                  <w:noProof/>
                                  <w:color w:val="2E74B5" w:themeColor="accent1" w:themeShade="BF"/>
                                  <w:szCs w:val="24"/>
                                </w:rPr>
                                <w:t>1</w:t>
                              </w:r>
                              <w:r w:rsidRPr="00203917">
                                <w:rPr>
                                  <w:color w:val="2E74B5" w:themeColor="accent1" w:themeShade="BF"/>
                                  <w:szCs w:val="24"/>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0215CCA4" id="Prostokąt 3" o:spid="_x0000_s1026" style="position:absolute;margin-left:-4.3pt;margin-top:732.5pt;width:35.95pt;height:35.45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" o:allowincell="f" stroked="f">
                  <v:textbox inset="0,,0">
                    <w:txbxContent>
                      <w:p w14:paraId="711B086F" w14:textId="77777777" w:rsidR="00D15C9A" w:rsidRPr="00203917" w:rsidRDefault="00D15C9A" w:rsidP="00D15C9A">
                        <w:pPr>
                          <w:rPr>
                            <w:color w:val="2E74B5" w:themeColor="accent1" w:themeShade="BF"/>
                            <w:szCs w:val="24"/>
                          </w:rPr>
                        </w:pPr>
                        <w:r w:rsidRPr="00203917">
                          <w:rPr>
                            <w:color w:val="2E74B5" w:themeColor="accent1" w:themeShade="BF"/>
                            <w:szCs w:val="24"/>
                          </w:rPr>
                          <w:fldChar w:fldCharType="begin"/>
                        </w:r>
                        <w:r w:rsidRPr="00203917">
                          <w:rPr>
                            <w:color w:val="2E74B5" w:themeColor="accent1" w:themeShade="BF"/>
                            <w:szCs w:val="24"/>
                          </w:rPr>
                          <w:instrText>PAGE   \* MERGEFORMAT</w:instrText>
                        </w:r>
                        <w:r w:rsidRPr="00203917">
                          <w:rPr>
                            <w:color w:val="2E74B5" w:themeColor="accent1" w:themeShade="BF"/>
                            <w:szCs w:val="24"/>
                          </w:rPr>
                          <w:fldChar w:fldCharType="separate"/>
                        </w:r>
                        <w:r>
                          <w:rPr>
                            <w:noProof/>
                            <w:color w:val="2E74B5" w:themeColor="accent1" w:themeShade="BF"/>
                            <w:szCs w:val="24"/>
                          </w:rPr>
                          <w:t>1</w:t>
                        </w:r>
                        <w:r w:rsidRPr="00203917">
                          <w:rPr>
                            <w:color w:val="2E74B5" w:themeColor="accent1" w:themeShade="BF"/>
                            <w:szCs w:val="24"/>
                          </w:rPr>
                          <w:fldChar w:fldCharType="end"/>
                        </w:r>
                      </w:p>
                    </w:txbxContent>
                  </v:textbox>
                  <w10:wrap anchorx="margin" anchory="margin"/>
                </v:rect>
              </w:pict>
            </mc:Fallback>
          </mc:AlternateContent>
        </w:r>
      </w:p>
      <w:p w14:paraId="010BCA4F" w14:textId="080D05D1" w:rsidR="00D15C9A" w:rsidRPr="00D15C9A" w:rsidRDefault="00697942" w:rsidP="00D15C9A">
        <w:pPr>
          <w:tabs>
            <w:tab w:val="center" w:pos="4536"/>
            <w:tab w:val="right" w:pos="9072"/>
          </w:tabs>
          <w:spacing w:line="200" w:lineRule="exact"/>
          <w:rPr>
            <w:rFonts w:ascii="Bahnschrift" w:eastAsia="Calibri" w:hAnsi="Bahnschrift" w:cs="Times New Roman"/>
            <w:color w:val="002D59"/>
            <w:sz w:val="18"/>
            <w:szCs w:val="18"/>
          </w:rPr>
        </w:pPr>
        <w:hyperlink r:id="rId2" w:history="1">
          <w:r w:rsidR="00D15C9A" w:rsidRPr="00D15C9A">
            <w:rPr>
              <w:rFonts w:ascii="Bahnschrift" w:eastAsia="Calibri" w:hAnsi="Bahnschrift" w:cs="Times New Roman"/>
              <w:color w:val="0000FF"/>
              <w:sz w:val="18"/>
              <w:szCs w:val="18"/>
              <w:u w:val="single"/>
            </w:rPr>
            <w:t>www.</w:t>
          </w:r>
          <w:r w:rsidR="00D15C9A" w:rsidRPr="00D15C9A">
            <w:rPr>
              <w:rFonts w:ascii="Bahnschrift" w:eastAsia="Calibri" w:hAnsi="Bahnschrift" w:cs="Times New Roman"/>
              <w:b/>
              <w:bCs/>
              <w:color w:val="0000FF"/>
              <w:sz w:val="18"/>
              <w:szCs w:val="18"/>
              <w:u w:val="single"/>
            </w:rPr>
            <w:t>us.</w:t>
          </w:r>
          <w:r w:rsidR="00D15C9A" w:rsidRPr="00D15C9A">
            <w:rPr>
              <w:rFonts w:ascii="Bahnschrift" w:eastAsia="Calibri" w:hAnsi="Bahnschrift" w:cs="Times New Roman"/>
              <w:color w:val="0000FF"/>
              <w:sz w:val="18"/>
              <w:szCs w:val="18"/>
              <w:u w:val="single"/>
            </w:rPr>
            <w:t>edu.pl</w:t>
          </w:r>
        </w:hyperlink>
      </w:p>
      <w:p w14:paraId="3C5CE2BC" w14:textId="2BA4E4DA" w:rsidR="00D15C9A" w:rsidRPr="00477C07" w:rsidRDefault="00D15C9A" w:rsidP="00D15C9A">
        <w:pPr>
          <w:tabs>
            <w:tab w:val="center" w:pos="4536"/>
            <w:tab w:val="right" w:pos="9072"/>
          </w:tabs>
          <w:spacing w:line="200" w:lineRule="exact"/>
          <w:rPr>
            <w:rFonts w:ascii="PT Sans" w:eastAsia="Calibri" w:hAnsi="PT Sans" w:cs="Times New Roman"/>
            <w:color w:val="002D59"/>
            <w:sz w:val="16"/>
            <w:szCs w:val="16"/>
          </w:rPr>
        </w:pPr>
      </w:p>
      <w:p w14:paraId="0F9534C6" w14:textId="52731C51" w:rsidR="00D15C9A" w:rsidRDefault="00697942" w:rsidP="00D15C9A">
        <w:pPr>
          <w:pStyle w:val="Stopka"/>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7FD1DE" w14:textId="77777777" w:rsidR="00D125E5" w:rsidRDefault="00D125E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341784" w14:textId="77777777" w:rsidR="0064280E" w:rsidRDefault="0064280E" w:rsidP="009A2B20">
      <w:r>
        <w:separator/>
      </w:r>
    </w:p>
  </w:footnote>
  <w:footnote w:type="continuationSeparator" w:id="0">
    <w:p w14:paraId="7858F50A" w14:textId="77777777" w:rsidR="0064280E" w:rsidRDefault="0064280E" w:rsidP="009A2B20">
      <w:r>
        <w:continuationSeparator/>
      </w:r>
    </w:p>
  </w:footnote>
  <w:footnote w:id="1">
    <w:p w14:paraId="3A6315DA" w14:textId="2AAB5872" w:rsidR="009A2B20" w:rsidRPr="006233A6" w:rsidRDefault="009A2B20" w:rsidP="009A2B20">
      <w:pPr>
        <w:spacing w:after="120" w:line="300" w:lineRule="auto"/>
        <w:jc w:val="both"/>
        <w:rPr>
          <w:sz w:val="20"/>
          <w:szCs w:val="20"/>
        </w:rPr>
      </w:pPr>
      <w:r w:rsidRPr="006233A6">
        <w:rPr>
          <w:rStyle w:val="Odwoanieprzypisudolnego"/>
          <w:sz w:val="20"/>
          <w:szCs w:val="20"/>
        </w:rPr>
        <w:footnoteRef/>
      </w:r>
      <w:r w:rsidRPr="006233A6">
        <w:rPr>
          <w:sz w:val="20"/>
          <w:szCs w:val="20"/>
        </w:rPr>
        <w:t xml:space="preserve"> Opcjonalnie – zgodnie z oświadczeniem Wykonawcy</w:t>
      </w:r>
      <w:r w:rsidR="006233A6" w:rsidRPr="006233A6">
        <w:rPr>
          <w:sz w:val="20"/>
          <w:szCs w:val="20"/>
        </w:rPr>
        <w:t>.</w:t>
      </w:r>
    </w:p>
    <w:p w14:paraId="064A0ECF" w14:textId="77777777" w:rsidR="009A2B20" w:rsidRDefault="009A2B20">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F6D10C" w14:textId="77777777" w:rsidR="00D125E5" w:rsidRDefault="00D125E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F96197" w14:textId="7346ED9F" w:rsidR="00D15C9A" w:rsidRPr="00D15C9A" w:rsidRDefault="00D15C9A" w:rsidP="00D15C9A">
    <w:pPr>
      <w:pStyle w:val="Nagwek"/>
      <w:jc w:val="right"/>
      <w:rPr>
        <w:rFonts w:ascii="Bahnschrift" w:hAnsi="Bahnschrift"/>
        <w:b/>
        <w:sz w:val="20"/>
        <w:szCs w:val="20"/>
      </w:rPr>
    </w:pPr>
    <w:r w:rsidRPr="00357F88">
      <w:rPr>
        <w:rFonts w:eastAsia="Times New Roman" w:cs="Times New Roman"/>
        <w:noProof/>
        <w:szCs w:val="20"/>
        <w:lang w:eastAsia="pl-PL"/>
      </w:rPr>
      <w:drawing>
        <wp:anchor distT="0" distB="0" distL="114300" distR="114300" simplePos="0" relativeHeight="251659264" behindDoc="1" locked="1" layoutInCell="1" allowOverlap="1" wp14:anchorId="3EE52E29" wp14:editId="0199FC86">
          <wp:simplePos x="0" y="0"/>
          <wp:positionH relativeFrom="page">
            <wp:posOffset>-128905</wp:posOffset>
          </wp:positionH>
          <wp:positionV relativeFrom="page">
            <wp:posOffset>-255905</wp:posOffset>
          </wp:positionV>
          <wp:extent cx="7559675" cy="1181100"/>
          <wp:effectExtent l="0" t="0" r="3175" b="0"/>
          <wp:wrapNone/>
          <wp:docPr id="20"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D15C9A">
      <w:rPr>
        <w:rFonts w:ascii="Bahnschrift" w:hAnsi="Bahnschrift"/>
        <w:b/>
        <w:sz w:val="20"/>
        <w:szCs w:val="20"/>
      </w:rPr>
      <w:t>Załącznik 2 do Ogłoszenia DZP.382.</w:t>
    </w:r>
    <w:r w:rsidR="00D125E5">
      <w:rPr>
        <w:rFonts w:ascii="Bahnschrift" w:hAnsi="Bahnschrift"/>
        <w:b/>
        <w:sz w:val="20"/>
        <w:szCs w:val="20"/>
      </w:rPr>
      <w:t>3.12</w:t>
    </w:r>
    <w:r w:rsidRPr="00D15C9A">
      <w:rPr>
        <w:rFonts w:ascii="Bahnschrift" w:hAnsi="Bahnschrift"/>
        <w:b/>
        <w:sz w:val="20"/>
        <w:szCs w:val="20"/>
      </w:rPr>
      <w:t>.2023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BE47E0" w14:textId="77777777" w:rsidR="00D125E5" w:rsidRDefault="00D125E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4E03D1"/>
    <w:multiLevelType w:val="hybridMultilevel"/>
    <w:tmpl w:val="4B960842"/>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A4752C5"/>
    <w:multiLevelType w:val="hybridMultilevel"/>
    <w:tmpl w:val="83BAE666"/>
    <w:lvl w:ilvl="0" w:tplc="635053F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BD54A41"/>
    <w:multiLevelType w:val="hybridMultilevel"/>
    <w:tmpl w:val="D5C6BAD4"/>
    <w:lvl w:ilvl="0" w:tplc="C7F211F4">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 w15:restartNumberingAfterBreak="0">
    <w:nsid w:val="392F7A50"/>
    <w:multiLevelType w:val="hybridMultilevel"/>
    <w:tmpl w:val="3D44AE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8DA321F"/>
    <w:multiLevelType w:val="hybridMultilevel"/>
    <w:tmpl w:val="2F92736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1"/>
  </w:num>
  <w:num w:numId="3">
    <w:abstractNumId w:val="4"/>
  </w:num>
  <w:num w:numId="4">
    <w:abstractNumId w:val="0"/>
  </w:num>
  <w:num w:numId="5">
    <w:abstractNumId w:val="2"/>
  </w:num>
  <w:num w:numId="6">
    <w:abstractNumId w:val="2"/>
    <w:lvlOverride w:ilvl="0">
      <w:startOverride w:val="1"/>
    </w:lvlOverride>
  </w:num>
  <w:num w:numId="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2B20"/>
    <w:rsid w:val="00060A06"/>
    <w:rsid w:val="00141529"/>
    <w:rsid w:val="00141C03"/>
    <w:rsid w:val="001777E6"/>
    <w:rsid w:val="001A5BE8"/>
    <w:rsid w:val="002933E3"/>
    <w:rsid w:val="003301EB"/>
    <w:rsid w:val="003A7205"/>
    <w:rsid w:val="003E6B1C"/>
    <w:rsid w:val="00422C74"/>
    <w:rsid w:val="00481DE5"/>
    <w:rsid w:val="004B72BC"/>
    <w:rsid w:val="004E2345"/>
    <w:rsid w:val="00516979"/>
    <w:rsid w:val="005A61F3"/>
    <w:rsid w:val="005B20C7"/>
    <w:rsid w:val="005B2502"/>
    <w:rsid w:val="006233A6"/>
    <w:rsid w:val="0064280E"/>
    <w:rsid w:val="00650892"/>
    <w:rsid w:val="00671310"/>
    <w:rsid w:val="00697942"/>
    <w:rsid w:val="006A793C"/>
    <w:rsid w:val="006B31EB"/>
    <w:rsid w:val="0070209D"/>
    <w:rsid w:val="00712BFE"/>
    <w:rsid w:val="00716A21"/>
    <w:rsid w:val="00837A38"/>
    <w:rsid w:val="0086351F"/>
    <w:rsid w:val="009A2B20"/>
    <w:rsid w:val="009C6882"/>
    <w:rsid w:val="009C6D17"/>
    <w:rsid w:val="00A90101"/>
    <w:rsid w:val="00AC20EB"/>
    <w:rsid w:val="00B01DA5"/>
    <w:rsid w:val="00B0599C"/>
    <w:rsid w:val="00B95822"/>
    <w:rsid w:val="00BF687A"/>
    <w:rsid w:val="00C447F9"/>
    <w:rsid w:val="00CC49A9"/>
    <w:rsid w:val="00D125E5"/>
    <w:rsid w:val="00D12DFD"/>
    <w:rsid w:val="00D15C9A"/>
    <w:rsid w:val="00D41D30"/>
    <w:rsid w:val="00D95115"/>
    <w:rsid w:val="00E55EA5"/>
    <w:rsid w:val="00E626F1"/>
    <w:rsid w:val="00E95BE6"/>
    <w:rsid w:val="00EA0B05"/>
    <w:rsid w:val="00EC38D9"/>
    <w:rsid w:val="00F21D2A"/>
    <w:rsid w:val="00FA3A8C"/>
    <w:rsid w:val="00FB29FF"/>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A58E2EC"/>
  <w15:chartTrackingRefBased/>
  <w15:docId w15:val="{37CBB6D2-B539-465D-B1B0-C013E7988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141C03"/>
    <w:pPr>
      <w:spacing w:after="0" w:line="240" w:lineRule="auto"/>
    </w:pPr>
    <w:rPr>
      <w:rFonts w:ascii="Times New Roman" w:hAnsi="Times New Roman"/>
      <w:sz w:val="24"/>
    </w:rPr>
  </w:style>
  <w:style w:type="paragraph" w:styleId="Nagwek2">
    <w:name w:val="heading 2"/>
    <w:basedOn w:val="Normalny"/>
    <w:next w:val="Normalny"/>
    <w:link w:val="Nagwek2Znak"/>
    <w:uiPriority w:val="9"/>
    <w:unhideWhenUsed/>
    <w:qFormat/>
    <w:rsid w:val="00EC38D9"/>
    <w:pPr>
      <w:keepNext/>
      <w:numPr>
        <w:numId w:val="5"/>
      </w:numPr>
      <w:spacing w:before="120" w:after="60" w:line="336" w:lineRule="auto"/>
      <w:contextualSpacing/>
      <w:jc w:val="both"/>
      <w:outlineLvl w:val="1"/>
    </w:pPr>
    <w:rPr>
      <w:rFonts w:ascii="Bahnschrift" w:eastAsia="Times New Roman" w:hAnsi="Bahnschrift" w:cs="Times New Roman"/>
      <w:bCs/>
      <w:noProof/>
      <w:sz w:val="20"/>
      <w:szCs w:val="26"/>
      <w:lang w:eastAsia="en-US"/>
    </w:rPr>
  </w:style>
  <w:style w:type="paragraph" w:styleId="Nagwek7">
    <w:name w:val="heading 7"/>
    <w:basedOn w:val="Normalny"/>
    <w:next w:val="Normalny"/>
    <w:link w:val="Nagwek7Znak"/>
    <w:uiPriority w:val="9"/>
    <w:semiHidden/>
    <w:unhideWhenUsed/>
    <w:qFormat/>
    <w:rsid w:val="00D15C9A"/>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A2B20"/>
    <w:pPr>
      <w:ind w:left="720"/>
      <w:contextualSpacing/>
    </w:pPr>
  </w:style>
  <w:style w:type="paragraph" w:styleId="Tekstprzypisudolnego">
    <w:name w:val="footnote text"/>
    <w:basedOn w:val="Normalny"/>
    <w:link w:val="TekstprzypisudolnegoZnak"/>
    <w:uiPriority w:val="99"/>
    <w:semiHidden/>
    <w:unhideWhenUsed/>
    <w:rsid w:val="009A2B20"/>
    <w:rPr>
      <w:sz w:val="20"/>
      <w:szCs w:val="20"/>
    </w:rPr>
  </w:style>
  <w:style w:type="character" w:customStyle="1" w:styleId="TekstprzypisudolnegoZnak">
    <w:name w:val="Tekst przypisu dolnego Znak"/>
    <w:basedOn w:val="Domylnaczcionkaakapitu"/>
    <w:link w:val="Tekstprzypisudolnego"/>
    <w:uiPriority w:val="99"/>
    <w:semiHidden/>
    <w:rsid w:val="009A2B20"/>
    <w:rPr>
      <w:rFonts w:ascii="Times New Roman" w:hAnsi="Times New Roman"/>
      <w:sz w:val="20"/>
      <w:szCs w:val="20"/>
    </w:rPr>
  </w:style>
  <w:style w:type="character" w:styleId="Odwoanieprzypisudolnego">
    <w:name w:val="footnote reference"/>
    <w:basedOn w:val="Domylnaczcionkaakapitu"/>
    <w:uiPriority w:val="99"/>
    <w:semiHidden/>
    <w:unhideWhenUsed/>
    <w:rsid w:val="009A2B20"/>
    <w:rPr>
      <w:vertAlign w:val="superscript"/>
    </w:rPr>
  </w:style>
  <w:style w:type="character" w:styleId="Odwoaniedokomentarza">
    <w:name w:val="annotation reference"/>
    <w:basedOn w:val="Domylnaczcionkaakapitu"/>
    <w:uiPriority w:val="99"/>
    <w:semiHidden/>
    <w:unhideWhenUsed/>
    <w:rsid w:val="00CC49A9"/>
    <w:rPr>
      <w:sz w:val="16"/>
      <w:szCs w:val="16"/>
    </w:rPr>
  </w:style>
  <w:style w:type="paragraph" w:styleId="Tekstkomentarza">
    <w:name w:val="annotation text"/>
    <w:basedOn w:val="Normalny"/>
    <w:link w:val="TekstkomentarzaZnak"/>
    <w:uiPriority w:val="99"/>
    <w:semiHidden/>
    <w:unhideWhenUsed/>
    <w:rsid w:val="00CC49A9"/>
    <w:rPr>
      <w:sz w:val="20"/>
      <w:szCs w:val="20"/>
    </w:rPr>
  </w:style>
  <w:style w:type="character" w:customStyle="1" w:styleId="TekstkomentarzaZnak">
    <w:name w:val="Tekst komentarza Znak"/>
    <w:basedOn w:val="Domylnaczcionkaakapitu"/>
    <w:link w:val="Tekstkomentarza"/>
    <w:uiPriority w:val="99"/>
    <w:semiHidden/>
    <w:rsid w:val="00CC49A9"/>
    <w:rPr>
      <w:rFonts w:ascii="Times New Roman" w:hAnsi="Times New Roman"/>
      <w:sz w:val="20"/>
      <w:szCs w:val="20"/>
    </w:rPr>
  </w:style>
  <w:style w:type="paragraph" w:styleId="Tematkomentarza">
    <w:name w:val="annotation subject"/>
    <w:basedOn w:val="Tekstkomentarza"/>
    <w:next w:val="Tekstkomentarza"/>
    <w:link w:val="TematkomentarzaZnak"/>
    <w:uiPriority w:val="99"/>
    <w:semiHidden/>
    <w:unhideWhenUsed/>
    <w:rsid w:val="00CC49A9"/>
    <w:rPr>
      <w:b/>
      <w:bCs/>
    </w:rPr>
  </w:style>
  <w:style w:type="character" w:customStyle="1" w:styleId="TematkomentarzaZnak">
    <w:name w:val="Temat komentarza Znak"/>
    <w:basedOn w:val="TekstkomentarzaZnak"/>
    <w:link w:val="Tematkomentarza"/>
    <w:uiPriority w:val="99"/>
    <w:semiHidden/>
    <w:rsid w:val="00CC49A9"/>
    <w:rPr>
      <w:rFonts w:ascii="Times New Roman" w:hAnsi="Times New Roman"/>
      <w:b/>
      <w:bCs/>
      <w:sz w:val="20"/>
      <w:szCs w:val="20"/>
    </w:rPr>
  </w:style>
  <w:style w:type="paragraph" w:styleId="Tekstdymka">
    <w:name w:val="Balloon Text"/>
    <w:basedOn w:val="Normalny"/>
    <w:link w:val="TekstdymkaZnak"/>
    <w:uiPriority w:val="99"/>
    <w:semiHidden/>
    <w:unhideWhenUsed/>
    <w:rsid w:val="00CC49A9"/>
    <w:rPr>
      <w:rFonts w:ascii="Segoe UI" w:hAnsi="Segoe UI" w:cs="Segoe UI"/>
      <w:sz w:val="18"/>
      <w:szCs w:val="18"/>
    </w:rPr>
  </w:style>
  <w:style w:type="character" w:customStyle="1" w:styleId="TekstdymkaZnak">
    <w:name w:val="Tekst dymka Znak"/>
    <w:basedOn w:val="Domylnaczcionkaakapitu"/>
    <w:link w:val="Tekstdymka"/>
    <w:uiPriority w:val="99"/>
    <w:semiHidden/>
    <w:rsid w:val="00CC49A9"/>
    <w:rPr>
      <w:rFonts w:ascii="Segoe UI" w:hAnsi="Segoe UI" w:cs="Segoe UI"/>
      <w:sz w:val="18"/>
      <w:szCs w:val="18"/>
    </w:rPr>
  </w:style>
  <w:style w:type="character" w:customStyle="1" w:styleId="Nagwek2Znak">
    <w:name w:val="Nagłówek 2 Znak"/>
    <w:basedOn w:val="Domylnaczcionkaakapitu"/>
    <w:link w:val="Nagwek2"/>
    <w:uiPriority w:val="9"/>
    <w:rsid w:val="00EC38D9"/>
    <w:rPr>
      <w:rFonts w:ascii="Bahnschrift" w:eastAsia="Times New Roman" w:hAnsi="Bahnschrift" w:cs="Times New Roman"/>
      <w:bCs/>
      <w:noProof/>
      <w:sz w:val="20"/>
      <w:szCs w:val="26"/>
      <w:lang w:eastAsia="en-US"/>
    </w:rPr>
  </w:style>
  <w:style w:type="paragraph" w:styleId="Nagwek">
    <w:name w:val="header"/>
    <w:basedOn w:val="Normalny"/>
    <w:link w:val="NagwekZnak"/>
    <w:uiPriority w:val="99"/>
    <w:unhideWhenUsed/>
    <w:rsid w:val="00D15C9A"/>
    <w:pPr>
      <w:tabs>
        <w:tab w:val="center" w:pos="4536"/>
        <w:tab w:val="right" w:pos="9072"/>
      </w:tabs>
    </w:pPr>
  </w:style>
  <w:style w:type="character" w:customStyle="1" w:styleId="NagwekZnak">
    <w:name w:val="Nagłówek Znak"/>
    <w:basedOn w:val="Domylnaczcionkaakapitu"/>
    <w:link w:val="Nagwek"/>
    <w:uiPriority w:val="99"/>
    <w:rsid w:val="00D15C9A"/>
    <w:rPr>
      <w:rFonts w:ascii="Times New Roman" w:hAnsi="Times New Roman"/>
      <w:sz w:val="24"/>
    </w:rPr>
  </w:style>
  <w:style w:type="paragraph" w:styleId="Stopka">
    <w:name w:val="footer"/>
    <w:basedOn w:val="Normalny"/>
    <w:link w:val="StopkaZnak"/>
    <w:uiPriority w:val="99"/>
    <w:unhideWhenUsed/>
    <w:rsid w:val="00D15C9A"/>
    <w:pPr>
      <w:tabs>
        <w:tab w:val="center" w:pos="4536"/>
        <w:tab w:val="right" w:pos="9072"/>
      </w:tabs>
    </w:pPr>
  </w:style>
  <w:style w:type="character" w:customStyle="1" w:styleId="StopkaZnak">
    <w:name w:val="Stopka Znak"/>
    <w:basedOn w:val="Domylnaczcionkaakapitu"/>
    <w:link w:val="Stopka"/>
    <w:uiPriority w:val="99"/>
    <w:rsid w:val="00D15C9A"/>
    <w:rPr>
      <w:rFonts w:ascii="Times New Roman" w:hAnsi="Times New Roman"/>
      <w:sz w:val="24"/>
    </w:rPr>
  </w:style>
  <w:style w:type="character" w:customStyle="1" w:styleId="Nagwek7Znak">
    <w:name w:val="Nagłówek 7 Znak"/>
    <w:basedOn w:val="Domylnaczcionkaakapitu"/>
    <w:link w:val="Nagwek7"/>
    <w:uiPriority w:val="9"/>
    <w:semiHidden/>
    <w:rsid w:val="00D15C9A"/>
    <w:rPr>
      <w:rFonts w:asciiTheme="majorHAnsi" w:eastAsiaTheme="majorEastAsia" w:hAnsiTheme="majorHAnsi" w:cstheme="majorBidi"/>
      <w:i/>
      <w:iCs/>
      <w:color w:val="1F4D78" w:themeColor="accent1" w:themeShade="7F"/>
      <w:sz w:val="24"/>
    </w:rPr>
  </w:style>
  <w:style w:type="table" w:styleId="Tabela-Siatka">
    <w:name w:val="Table Grid"/>
    <w:basedOn w:val="Standardowy"/>
    <w:uiPriority w:val="59"/>
    <w:rsid w:val="00D15C9A"/>
    <w:pPr>
      <w:spacing w:after="0" w:line="240" w:lineRule="auto"/>
      <w:ind w:left="851" w:hanging="284"/>
      <w:jc w:val="both"/>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4013972">
      <w:bodyDiv w:val="1"/>
      <w:marLeft w:val="0"/>
      <w:marRight w:val="0"/>
      <w:marTop w:val="0"/>
      <w:marBottom w:val="0"/>
      <w:divBdr>
        <w:top w:val="none" w:sz="0" w:space="0" w:color="auto"/>
        <w:left w:val="none" w:sz="0" w:space="0" w:color="auto"/>
        <w:bottom w:val="none" w:sz="0" w:space="0" w:color="auto"/>
        <w:right w:val="none" w:sz="0" w:space="0" w:color="auto"/>
      </w:divBdr>
    </w:div>
    <w:div w:id="1632981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us.edu.pl"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BB05C6-F637-42AC-8F0C-E9DAA6E9F7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3</Pages>
  <Words>593</Words>
  <Characters>3558</Characters>
  <Application>Microsoft Office Word</Application>
  <DocSecurity>0</DocSecurity>
  <Lines>29</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AgaJ</dc:creator>
  <cp:keywords/>
  <dc:description/>
  <cp:lastModifiedBy>Aneta Szturc-Krawczyk</cp:lastModifiedBy>
  <cp:revision>12</cp:revision>
  <dcterms:created xsi:type="dcterms:W3CDTF">2024-01-19T14:35:00Z</dcterms:created>
  <dcterms:modified xsi:type="dcterms:W3CDTF">2024-01-25T07:45:00Z</dcterms:modified>
</cp:coreProperties>
</file>