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58D76147" w:rsidR="00F43842" w:rsidRDefault="00F43842" w:rsidP="00F43842">
      <w:pPr>
        <w:pStyle w:val="Nagwek3"/>
        <w:spacing w:before="0" w:line="300" w:lineRule="auto"/>
        <w:ind w:left="12036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>Załącznik do SWZ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416112C5" w:rsidR="00EA5D15" w:rsidRDefault="00EA5D15" w:rsidP="00EA5D15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DD232B" w:rsidRPr="00DD232B">
        <w:rPr>
          <w:rFonts w:ascii="Trebuchet MS" w:hAnsi="Trebuchet MS"/>
          <w:b/>
          <w:bCs/>
          <w:lang w:eastAsia="en-US"/>
        </w:rPr>
        <w:t>Budowa oświetlenia ulic w os. Ludwików – etap II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3134C2"/>
    <w:rsid w:val="004B1F50"/>
    <w:rsid w:val="00570679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6</cp:revision>
  <dcterms:created xsi:type="dcterms:W3CDTF">2021-04-19T11:45:00Z</dcterms:created>
  <dcterms:modified xsi:type="dcterms:W3CDTF">2021-08-25T07:44:00Z</dcterms:modified>
</cp:coreProperties>
</file>