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tel: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Nexus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z tym, że zgodnie z art. 19 ust. 3 ustawy Pzp,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w:t>
      </w:r>
      <w:r w:rsidR="008E0B1A">
        <w:t>2</w:t>
      </w:r>
      <w:r w:rsidR="003416AA">
        <w:t>3</w:t>
      </w:r>
      <w:r>
        <w:t xml:space="preserve"> r., p</w:t>
      </w:r>
      <w:r w:rsidR="001F054B">
        <w:t xml:space="preserve">oz. </w:t>
      </w:r>
      <w:r w:rsidR="003416AA">
        <w:t>1605</w:t>
      </w:r>
      <w:r w:rsidR="001F054B">
        <w:t xml:space="preserve"> – tekst jednolity) </w:t>
      </w:r>
      <w:r w:rsidR="00DD2A9E">
        <w:t>zwanej dalej także „</w:t>
      </w:r>
      <w:r>
        <w:t>ustawą P</w:t>
      </w:r>
      <w:r w:rsidR="0062621E">
        <w:t>zp</w:t>
      </w:r>
      <w:r>
        <w:t>" lub „Pzp</w:t>
      </w:r>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517804" w:rsidRDefault="007E13C8" w:rsidP="007E13C8">
      <w:pPr>
        <w:spacing w:after="0" w:line="240" w:lineRule="auto"/>
        <w:jc w:val="both"/>
        <w:rPr>
          <w:rFonts w:eastAsia="Times New Roman" w:cstheme="minorHAnsi"/>
          <w:b/>
          <w:bCs/>
          <w:color w:val="00000A"/>
        </w:rPr>
      </w:pPr>
      <w:r w:rsidRPr="007E13C8">
        <w:rPr>
          <w:rFonts w:eastAsia="Times New Roman" w:cstheme="minorHAnsi"/>
          <w:b/>
          <w:color w:val="00000A"/>
        </w:rPr>
        <w:t xml:space="preserve">1. </w:t>
      </w:r>
      <w:r w:rsidRPr="00D43A82">
        <w:rPr>
          <w:rFonts w:eastAsia="Times New Roman" w:cstheme="minorHAnsi"/>
          <w:b/>
          <w:color w:val="00000A"/>
        </w:rPr>
        <w:t xml:space="preserve">Przedmiotem zamówienia jest </w:t>
      </w:r>
      <w:r w:rsidR="000A1DBF">
        <w:rPr>
          <w:rFonts w:eastAsia="Times New Roman" w:cstheme="minorHAnsi"/>
          <w:b/>
          <w:color w:val="00000A"/>
        </w:rPr>
        <w:t xml:space="preserve">dostawa </w:t>
      </w:r>
      <w:r w:rsidR="003A0E8E">
        <w:rPr>
          <w:rFonts w:eastAsia="Calibri" w:cstheme="minorHAnsi"/>
          <w:b/>
          <w:lang w:eastAsia="en-US"/>
        </w:rPr>
        <w:t>sprzętu łączności bezprzewodowej standardzie ETSI TETRA TEA2, DMR dla nowo powstających jednostek garnizonu dolnośląskiego</w:t>
      </w:r>
      <w:r w:rsidR="003416AA" w:rsidRPr="00D43A82">
        <w:rPr>
          <w:rFonts w:eastAsia="Times New Roman" w:cstheme="minorHAnsi"/>
          <w:b/>
          <w:bCs/>
          <w:color w:val="00000A"/>
        </w:rPr>
        <w:t xml:space="preserve">. </w:t>
      </w:r>
    </w:p>
    <w:p w:rsidR="003C2768" w:rsidRDefault="002F0EEA" w:rsidP="003A0E8E">
      <w:pPr>
        <w:pStyle w:val="Addressee"/>
        <w:jc w:val="both"/>
        <w:rPr>
          <w:rFonts w:asciiTheme="minorHAnsi" w:eastAsia="Times New Roman" w:hAnsiTheme="minorHAnsi" w:cstheme="minorHAnsi"/>
          <w:b/>
          <w:bCs/>
        </w:rPr>
      </w:pPr>
      <w:r w:rsidRPr="003A0E8E">
        <w:rPr>
          <w:rFonts w:asciiTheme="minorHAnsi" w:eastAsia="Times New Roman" w:hAnsiTheme="minorHAnsi" w:cstheme="minorHAnsi"/>
          <w:b/>
          <w:bCs/>
        </w:rPr>
        <w:t xml:space="preserve">2. </w:t>
      </w:r>
      <w:r w:rsidR="003C2768">
        <w:rPr>
          <w:rFonts w:asciiTheme="minorHAnsi" w:eastAsia="Times New Roman" w:hAnsiTheme="minorHAnsi" w:cstheme="minorHAnsi"/>
          <w:b/>
          <w:bCs/>
        </w:rPr>
        <w:t>Przedmiot zamówienia podzielono na dwie niżej opisane części:</w:t>
      </w:r>
    </w:p>
    <w:p w:rsidR="003A0E8E" w:rsidRPr="00A938B3" w:rsidRDefault="003A0E8E" w:rsidP="003A0E8E">
      <w:pPr>
        <w:pStyle w:val="Addressee"/>
        <w:jc w:val="both"/>
        <w:rPr>
          <w:rStyle w:val="apple-converted-space"/>
          <w:rFonts w:asciiTheme="minorHAnsi" w:hAnsiTheme="minorHAnsi"/>
          <w:szCs w:val="22"/>
        </w:rPr>
      </w:pPr>
      <w:r w:rsidRPr="00A938B3">
        <w:rPr>
          <w:rStyle w:val="apple-converted-space"/>
          <w:rFonts w:asciiTheme="minorHAnsi" w:hAnsiTheme="minorHAnsi"/>
          <w:b/>
          <w:szCs w:val="22"/>
          <w:u w:val="single"/>
        </w:rPr>
        <w:t>Część 1:</w:t>
      </w:r>
      <w:r w:rsidRPr="00A938B3">
        <w:rPr>
          <w:rStyle w:val="apple-converted-space"/>
          <w:rFonts w:asciiTheme="minorHAnsi" w:hAnsiTheme="minorHAnsi"/>
          <w:szCs w:val="22"/>
        </w:rPr>
        <w:t xml:space="preserve"> </w:t>
      </w:r>
      <w:r w:rsidRPr="00A938B3">
        <w:rPr>
          <w:rStyle w:val="apple-converted-space"/>
          <w:rFonts w:asciiTheme="minorHAnsi" w:hAnsiTheme="minorHAnsi"/>
          <w:b/>
          <w:szCs w:val="22"/>
        </w:rPr>
        <w:t>obejmuje dostawę i konfigurację sprzętu łączności cyfrowej</w:t>
      </w:r>
      <w:r w:rsidR="003C2768" w:rsidRPr="00A938B3">
        <w:rPr>
          <w:rStyle w:val="apple-converted-space"/>
          <w:rFonts w:asciiTheme="minorHAnsi" w:hAnsiTheme="minorHAnsi"/>
          <w:b/>
          <w:szCs w:val="22"/>
        </w:rPr>
        <w:t xml:space="preserve"> dla Komisariatu Policji Wrocław Stare Miasto i PP Szczytna</w:t>
      </w:r>
      <w:r w:rsidRPr="00A938B3">
        <w:rPr>
          <w:rStyle w:val="apple-converted-space"/>
          <w:rFonts w:asciiTheme="minorHAnsi" w:hAnsiTheme="minorHAnsi"/>
          <w:b/>
          <w:szCs w:val="22"/>
        </w:rPr>
        <w:t>:</w:t>
      </w:r>
      <w:r w:rsidRPr="00A938B3">
        <w:rPr>
          <w:rStyle w:val="apple-converted-space"/>
          <w:rFonts w:asciiTheme="minorHAnsi" w:hAnsiTheme="minorHAnsi"/>
          <w:szCs w:val="22"/>
        </w:rPr>
        <w:t xml:space="preserve"> stacj</w:t>
      </w:r>
      <w:r w:rsidR="003C2768" w:rsidRPr="00A938B3">
        <w:rPr>
          <w:rStyle w:val="apple-converted-space"/>
          <w:rFonts w:asciiTheme="minorHAnsi" w:hAnsiTheme="minorHAnsi"/>
          <w:szCs w:val="22"/>
        </w:rPr>
        <w:t>i</w:t>
      </w:r>
      <w:r w:rsidRPr="00A938B3">
        <w:rPr>
          <w:rStyle w:val="apple-converted-space"/>
          <w:rFonts w:asciiTheme="minorHAnsi" w:hAnsiTheme="minorHAnsi"/>
          <w:szCs w:val="22"/>
        </w:rPr>
        <w:t xml:space="preserve"> </w:t>
      </w:r>
      <w:r w:rsidR="003C2768" w:rsidRPr="00A938B3">
        <w:rPr>
          <w:rStyle w:val="apple-converted-space"/>
          <w:rFonts w:asciiTheme="minorHAnsi" w:hAnsiTheme="minorHAnsi"/>
          <w:szCs w:val="22"/>
        </w:rPr>
        <w:t>bazowej</w:t>
      </w:r>
      <w:r w:rsidRPr="00A938B3">
        <w:rPr>
          <w:rStyle w:val="apple-converted-space"/>
          <w:rFonts w:asciiTheme="minorHAnsi" w:hAnsiTheme="minorHAnsi"/>
          <w:szCs w:val="22"/>
        </w:rPr>
        <w:t xml:space="preserve"> TETRA 4BR, zestawów kamuflowanych do radiotelefonu MTP 3550, radiotelefonu UHF TETRA przewoźnego </w:t>
      </w:r>
      <w:r w:rsidR="003C2768" w:rsidRPr="00A938B3">
        <w:rPr>
          <w:rStyle w:val="apple-converted-space"/>
          <w:rFonts w:asciiTheme="minorHAnsi" w:hAnsiTheme="minorHAnsi"/>
          <w:szCs w:val="22"/>
        </w:rPr>
        <w:t xml:space="preserve">ukompletowanie biurkowe, radiotelefonu UHF TETRA przewoźnego ukompletowanie standardowe (do modułu RACK), radiotelefonów nasobnych UHF TETRA, </w:t>
      </w:r>
      <w:r w:rsidRPr="00A938B3">
        <w:rPr>
          <w:rStyle w:val="apple-converted-space"/>
          <w:rFonts w:asciiTheme="minorHAnsi" w:hAnsiTheme="minorHAnsi"/>
          <w:szCs w:val="22"/>
        </w:rPr>
        <w:t xml:space="preserve"> </w:t>
      </w:r>
      <w:r w:rsidR="003C2768" w:rsidRPr="00A938B3">
        <w:rPr>
          <w:rStyle w:val="apple-converted-space"/>
          <w:rFonts w:asciiTheme="minorHAnsi" w:hAnsiTheme="minorHAnsi"/>
          <w:szCs w:val="22"/>
        </w:rPr>
        <w:t xml:space="preserve">radiotelefonów UHF TETRA przewoźnych ukompletowanie </w:t>
      </w:r>
      <w:r w:rsidR="003C2768" w:rsidRPr="00A938B3">
        <w:rPr>
          <w:rStyle w:val="apple-converted-space"/>
          <w:rFonts w:asciiTheme="minorHAnsi" w:hAnsiTheme="minorHAnsi"/>
          <w:szCs w:val="22"/>
        </w:rPr>
        <w:lastRenderedPageBreak/>
        <w:t xml:space="preserve">rozłączne </w:t>
      </w:r>
      <w:r w:rsidRPr="00A938B3">
        <w:rPr>
          <w:rStyle w:val="apple-converted-space"/>
          <w:rFonts w:asciiTheme="minorHAnsi" w:hAnsiTheme="minorHAnsi"/>
          <w:szCs w:val="22"/>
        </w:rPr>
        <w:t xml:space="preserve">- w ilościach i minimalnych parametrach określonych w załączniku nr 1 do SWZ (Formularz ofertowy) oraz w załączniku nr 2 do Projektowanych postanowień umowy; </w:t>
      </w:r>
    </w:p>
    <w:p w:rsidR="003C2768" w:rsidRPr="00A938B3" w:rsidRDefault="003A0E8E" w:rsidP="00A938B3">
      <w:pPr>
        <w:pStyle w:val="Normalny1"/>
        <w:jc w:val="both"/>
        <w:rPr>
          <w:rStyle w:val="apple-converted-space"/>
          <w:rFonts w:asciiTheme="minorHAnsi" w:hAnsiTheme="minorHAnsi"/>
          <w:sz w:val="22"/>
          <w:szCs w:val="22"/>
        </w:rPr>
      </w:pPr>
      <w:r w:rsidRPr="00A938B3">
        <w:rPr>
          <w:rStyle w:val="apple-converted-space"/>
          <w:rFonts w:asciiTheme="minorHAnsi" w:hAnsiTheme="minorHAnsi"/>
          <w:b/>
          <w:sz w:val="22"/>
          <w:szCs w:val="22"/>
          <w:u w:val="single"/>
        </w:rPr>
        <w:t>Część 2:</w:t>
      </w:r>
      <w:r w:rsidRPr="00A938B3">
        <w:rPr>
          <w:rStyle w:val="apple-converted-space"/>
          <w:rFonts w:asciiTheme="minorHAnsi" w:hAnsiTheme="minorHAnsi"/>
          <w:sz w:val="22"/>
          <w:szCs w:val="22"/>
        </w:rPr>
        <w:t xml:space="preserve"> </w:t>
      </w:r>
      <w:r w:rsidR="003C2768" w:rsidRPr="00A938B3">
        <w:rPr>
          <w:rStyle w:val="apple-converted-space"/>
          <w:rFonts w:asciiTheme="minorHAnsi" w:hAnsiTheme="minorHAnsi"/>
          <w:b/>
          <w:sz w:val="22"/>
          <w:szCs w:val="22"/>
        </w:rPr>
        <w:t>obejmuje dostawę i konfigurację sprzętu łączności cyfrowej dla PP Gromadka i PP Szczytna:</w:t>
      </w:r>
      <w:r w:rsidR="003C2768" w:rsidRPr="00A938B3">
        <w:rPr>
          <w:rStyle w:val="apple-converted-space"/>
          <w:rFonts w:asciiTheme="minorHAnsi" w:hAnsiTheme="minorHAnsi"/>
          <w:sz w:val="22"/>
          <w:szCs w:val="22"/>
        </w:rPr>
        <w:t xml:space="preserve"> radiotelefon</w:t>
      </w:r>
      <w:r w:rsidR="00A938B3" w:rsidRPr="00A938B3">
        <w:rPr>
          <w:rStyle w:val="apple-converted-space"/>
          <w:rFonts w:asciiTheme="minorHAnsi" w:hAnsiTheme="minorHAnsi"/>
          <w:sz w:val="22"/>
          <w:szCs w:val="22"/>
        </w:rPr>
        <w:t>ów</w:t>
      </w:r>
      <w:r w:rsidR="003C2768" w:rsidRPr="00A938B3">
        <w:rPr>
          <w:rStyle w:val="apple-converted-space"/>
          <w:rFonts w:asciiTheme="minorHAnsi" w:hAnsiTheme="minorHAnsi"/>
          <w:sz w:val="22"/>
          <w:szCs w:val="22"/>
        </w:rPr>
        <w:t xml:space="preserve"> </w:t>
      </w:r>
      <w:r w:rsidR="00A938B3" w:rsidRPr="00A938B3">
        <w:rPr>
          <w:rStyle w:val="apple-converted-space"/>
          <w:rFonts w:asciiTheme="minorHAnsi" w:hAnsiTheme="minorHAnsi"/>
          <w:sz w:val="22"/>
          <w:szCs w:val="22"/>
        </w:rPr>
        <w:t xml:space="preserve">VHF DMR przewoźnych ukompletowanie biurkowe, radiotelefonów VHF nasobnych, zdalnego sterowania do szafy RACK, pulpitu IP do zdalnego sterowania, anten VHF z okablowaniem i akcesoriami, radiotelefonu VHF DMR przewoźnego ukompletowanie standardowe (do modułu RACK) , radiotelefonu VHF DMR przewoźnego ukompletowanie rozłączne, zdalnego sterowania klient-serwer, modułu RACK,  </w:t>
      </w:r>
      <w:r w:rsidR="003C2768" w:rsidRPr="00A938B3">
        <w:rPr>
          <w:rStyle w:val="apple-converted-space"/>
          <w:rFonts w:asciiTheme="minorHAnsi" w:hAnsiTheme="minorHAnsi"/>
          <w:sz w:val="22"/>
          <w:szCs w:val="22"/>
        </w:rPr>
        <w:t xml:space="preserve">- w ilościach i minimalnych parametrach określonych w załączniku nr 1 do SWZ (Formularz ofertowy) oraz w załączniku nr 2 do Projektowanych postanowień umowy; </w:t>
      </w:r>
    </w:p>
    <w:p w:rsidR="00A938B3" w:rsidRPr="00A938B3" w:rsidRDefault="00A938B3" w:rsidP="00A938B3">
      <w:pPr>
        <w:pStyle w:val="Normalny1"/>
        <w:jc w:val="both"/>
        <w:rPr>
          <w:rFonts w:asciiTheme="minorHAnsi" w:hAnsiTheme="minorHAnsi" w:cstheme="minorHAnsi"/>
          <w:spacing w:val="6"/>
          <w:sz w:val="22"/>
          <w:szCs w:val="22"/>
        </w:rPr>
      </w:pPr>
      <w:r w:rsidRPr="00A938B3">
        <w:rPr>
          <w:rStyle w:val="apple-converted-space"/>
          <w:rFonts w:asciiTheme="minorHAnsi" w:hAnsiTheme="minorHAnsi"/>
          <w:b/>
          <w:sz w:val="22"/>
          <w:szCs w:val="22"/>
        </w:rPr>
        <w:t>3.</w:t>
      </w:r>
      <w:r w:rsidRPr="00A938B3">
        <w:rPr>
          <w:rStyle w:val="apple-converted-space"/>
          <w:rFonts w:asciiTheme="minorHAnsi" w:hAnsiTheme="minorHAnsi"/>
          <w:sz w:val="22"/>
          <w:szCs w:val="22"/>
        </w:rPr>
        <w:t xml:space="preserve"> Wykonawca może złożyć ofertę na obie lub wybraną część postępowania. </w:t>
      </w:r>
      <w:r w:rsidRPr="00A938B3">
        <w:rPr>
          <w:rFonts w:asciiTheme="minorHAnsi" w:hAnsiTheme="minorHAnsi" w:cstheme="minorHAnsi"/>
          <w:spacing w:val="6"/>
          <w:sz w:val="22"/>
          <w:szCs w:val="22"/>
        </w:rPr>
        <w:t>Wymaga się złożenia oferty na całość przedmiotu zamówienia w danej części postępowania.</w:t>
      </w:r>
    </w:p>
    <w:p w:rsidR="004E7D87" w:rsidRPr="00A938B3" w:rsidRDefault="002F0EEA" w:rsidP="00A938B3">
      <w:pPr>
        <w:pStyle w:val="Normalny1"/>
        <w:jc w:val="both"/>
        <w:rPr>
          <w:rFonts w:asciiTheme="minorHAnsi" w:hAnsiTheme="minorHAnsi" w:cstheme="minorHAnsi"/>
          <w:sz w:val="22"/>
          <w:szCs w:val="22"/>
        </w:rPr>
      </w:pPr>
      <w:r w:rsidRPr="00A938B3">
        <w:rPr>
          <w:rFonts w:asciiTheme="minorHAnsi" w:eastAsia="SimSun" w:hAnsiTheme="minorHAnsi"/>
          <w:b/>
          <w:sz w:val="22"/>
          <w:szCs w:val="22"/>
          <w:lang w:eastAsia="zh-CN"/>
        </w:rPr>
        <w:t>4</w:t>
      </w:r>
      <w:r w:rsidR="004E7D87" w:rsidRPr="00A938B3">
        <w:rPr>
          <w:rFonts w:asciiTheme="minorHAnsi" w:eastAsia="SimSun" w:hAnsiTheme="minorHAnsi"/>
          <w:b/>
          <w:sz w:val="22"/>
          <w:szCs w:val="22"/>
          <w:lang w:eastAsia="zh-CN"/>
        </w:rPr>
        <w:t>.</w:t>
      </w:r>
      <w:r w:rsidR="00D43A82" w:rsidRPr="00A938B3">
        <w:rPr>
          <w:rFonts w:asciiTheme="minorHAnsi" w:eastAsia="SimSun" w:hAnsiTheme="minorHAnsi"/>
          <w:sz w:val="22"/>
          <w:szCs w:val="22"/>
          <w:lang w:eastAsia="zh-CN"/>
        </w:rPr>
        <w:t xml:space="preserve"> Szczegółowy opis przedmiotu zamówienia oraz wymagania techniczne dla każdego                                      z kompletów radioliniowych </w:t>
      </w:r>
      <w:r w:rsidR="004E7D87" w:rsidRPr="00A938B3">
        <w:rPr>
          <w:rFonts w:asciiTheme="minorHAnsi" w:eastAsia="SimSun" w:hAnsiTheme="minorHAnsi"/>
          <w:sz w:val="22"/>
          <w:szCs w:val="22"/>
          <w:lang w:eastAsia="zh-CN"/>
        </w:rPr>
        <w:t>zostały opisane w załączniku nr 1 do Projektowanych postanowień</w:t>
      </w:r>
      <w:r w:rsidR="004E7D87" w:rsidRPr="00A938B3">
        <w:rPr>
          <w:rFonts w:asciiTheme="minorHAnsi" w:eastAsia="SimSun" w:hAnsiTheme="minorHAnsi"/>
          <w:color w:val="FF0000"/>
          <w:sz w:val="22"/>
          <w:szCs w:val="22"/>
          <w:lang w:eastAsia="zh-CN"/>
        </w:rPr>
        <w:t xml:space="preserve"> </w:t>
      </w:r>
      <w:r w:rsidR="004E7D87" w:rsidRPr="00A938B3">
        <w:rPr>
          <w:rFonts w:asciiTheme="minorHAnsi" w:eastAsia="SimSun" w:hAnsiTheme="minorHAnsi"/>
          <w:sz w:val="22"/>
          <w:szCs w:val="22"/>
          <w:lang w:eastAsia="zh-CN"/>
        </w:rPr>
        <w:t xml:space="preserve">umowy. </w:t>
      </w:r>
      <w:r w:rsidR="004E7D87" w:rsidRPr="00A938B3">
        <w:rPr>
          <w:rFonts w:asciiTheme="minorHAnsi" w:hAnsiTheme="minorHAnsi" w:cs="Tahoma"/>
          <w:sz w:val="22"/>
          <w:szCs w:val="22"/>
        </w:rPr>
        <w:t xml:space="preserve">Zamawiający wymaga zaoferowania </w:t>
      </w:r>
      <w:r w:rsidR="00D43A82" w:rsidRPr="00A938B3">
        <w:rPr>
          <w:rFonts w:asciiTheme="minorHAnsi" w:hAnsiTheme="minorHAnsi" w:cs="Tahoma"/>
          <w:sz w:val="22"/>
          <w:szCs w:val="22"/>
        </w:rPr>
        <w:t xml:space="preserve">urządzeń </w:t>
      </w:r>
      <w:r w:rsidR="004E7D87" w:rsidRPr="00A938B3">
        <w:rPr>
          <w:rFonts w:asciiTheme="minorHAnsi" w:hAnsiTheme="minorHAnsi" w:cs="Tahoma"/>
          <w:sz w:val="22"/>
          <w:szCs w:val="22"/>
        </w:rPr>
        <w:t>spełniających wszystkie wymagania opisane w w/w załącznik</w:t>
      </w:r>
      <w:r w:rsidR="00D43A82" w:rsidRPr="00A938B3">
        <w:rPr>
          <w:rFonts w:asciiTheme="minorHAnsi" w:hAnsiTheme="minorHAnsi" w:cs="Tahoma"/>
          <w:sz w:val="22"/>
          <w:szCs w:val="22"/>
        </w:rPr>
        <w:t>u</w:t>
      </w:r>
      <w:r w:rsidR="004E7D87" w:rsidRPr="00A938B3">
        <w:rPr>
          <w:rFonts w:asciiTheme="minorHAnsi" w:hAnsiTheme="minorHAnsi" w:cs="Tahoma"/>
          <w:color w:val="000000" w:themeColor="text1"/>
          <w:sz w:val="22"/>
          <w:szCs w:val="22"/>
        </w:rPr>
        <w:t>.</w:t>
      </w:r>
      <w:r w:rsidR="004E7D87" w:rsidRPr="00A938B3">
        <w:rPr>
          <w:rFonts w:asciiTheme="minorHAnsi" w:hAnsiTheme="minorHAnsi" w:cs="Tahoma"/>
          <w:sz w:val="22"/>
          <w:szCs w:val="22"/>
        </w:rPr>
        <w:t xml:space="preserve"> Sposób realizacji zamówienia został opisany w Projektowanych postanowieniach umowy, który stanowią załącznik nr </w:t>
      </w:r>
      <w:r w:rsidR="001064FC" w:rsidRPr="00A938B3">
        <w:rPr>
          <w:rFonts w:asciiTheme="minorHAnsi" w:hAnsiTheme="minorHAnsi" w:cs="Tahoma"/>
          <w:sz w:val="22"/>
          <w:szCs w:val="22"/>
        </w:rPr>
        <w:t>3</w:t>
      </w:r>
      <w:r w:rsidR="000A316D" w:rsidRPr="00A938B3">
        <w:rPr>
          <w:rFonts w:asciiTheme="minorHAnsi" w:hAnsiTheme="minorHAnsi" w:cs="Tahoma"/>
          <w:sz w:val="22"/>
          <w:szCs w:val="22"/>
        </w:rPr>
        <w:t xml:space="preserve"> do niniejszej S</w:t>
      </w:r>
      <w:r w:rsidR="004E7D87" w:rsidRPr="00A938B3">
        <w:rPr>
          <w:rFonts w:asciiTheme="minorHAnsi" w:hAnsiTheme="minorHAnsi" w:cs="Tahoma"/>
          <w:sz w:val="22"/>
          <w:szCs w:val="22"/>
        </w:rPr>
        <w:t>WZ.</w:t>
      </w:r>
    </w:p>
    <w:p w:rsidR="004E7D87" w:rsidRPr="00A938B3" w:rsidRDefault="002F0EEA" w:rsidP="00A938B3">
      <w:pPr>
        <w:pStyle w:val="Normalny1"/>
        <w:jc w:val="both"/>
        <w:rPr>
          <w:rFonts w:asciiTheme="minorHAnsi" w:hAnsiTheme="minorHAnsi"/>
          <w:color w:val="000000" w:themeColor="text1"/>
          <w:sz w:val="22"/>
          <w:szCs w:val="22"/>
        </w:rPr>
      </w:pPr>
      <w:r w:rsidRPr="00A938B3">
        <w:rPr>
          <w:rFonts w:asciiTheme="minorHAnsi" w:hAnsiTheme="minorHAnsi" w:cstheme="minorHAnsi"/>
          <w:b/>
          <w:bCs/>
          <w:spacing w:val="6"/>
          <w:sz w:val="22"/>
          <w:szCs w:val="22"/>
        </w:rPr>
        <w:t>5</w:t>
      </w:r>
      <w:r w:rsidR="004E7D87" w:rsidRPr="00A938B3">
        <w:rPr>
          <w:rFonts w:asciiTheme="minorHAnsi" w:hAnsiTheme="minorHAnsi"/>
          <w:b/>
          <w:sz w:val="22"/>
          <w:szCs w:val="22"/>
        </w:rPr>
        <w:t>.</w:t>
      </w:r>
      <w:r w:rsidR="004E7D87" w:rsidRPr="00A938B3">
        <w:rPr>
          <w:rFonts w:asciiTheme="minorHAnsi" w:hAnsiTheme="minorHAnsi"/>
          <w:sz w:val="22"/>
          <w:szCs w:val="22"/>
        </w:rPr>
        <w:t xml:space="preserve"> </w:t>
      </w:r>
      <w:r w:rsidR="004E7D87" w:rsidRPr="00A938B3">
        <w:rPr>
          <w:rFonts w:asciiTheme="minorHAnsi" w:hAnsiTheme="minorHAnsi" w:cs="Tahoma"/>
          <w:b/>
          <w:color w:val="000000" w:themeColor="text1"/>
          <w:sz w:val="22"/>
          <w:szCs w:val="22"/>
        </w:rPr>
        <w:t xml:space="preserve">Wymagania w zakresie zatrudnienia na podstawie stosunku pracy. </w:t>
      </w:r>
      <w:r w:rsidR="004E7D87" w:rsidRPr="00A938B3">
        <w:rPr>
          <w:rFonts w:asciiTheme="minorHAnsi" w:hAnsiTheme="minorHAnsi"/>
          <w:color w:val="000000" w:themeColor="text1"/>
          <w:sz w:val="22"/>
          <w:szCs w:val="22"/>
        </w:rPr>
        <w:t xml:space="preserve">Brak jest czynności związanych z realizacją zamówienia, polegających na wykonywaniu pacy w sposób określony w art. 22 § 1 ustawy z dnia 26 czerwca 1974 roku – Kodeks pracy (Dz.U. z 2022 r. poz. 1510 - ze zmianami). </w:t>
      </w:r>
    </w:p>
    <w:p w:rsidR="003416AA" w:rsidRPr="00A938B3" w:rsidRDefault="002F0EEA" w:rsidP="00A938B3">
      <w:pPr>
        <w:pStyle w:val="Normalny1"/>
        <w:jc w:val="both"/>
        <w:rPr>
          <w:rFonts w:asciiTheme="minorHAnsi" w:hAnsiTheme="minorHAnsi" w:cstheme="minorHAnsi"/>
          <w:color w:val="00000A"/>
          <w:sz w:val="22"/>
          <w:szCs w:val="22"/>
        </w:rPr>
      </w:pPr>
      <w:r w:rsidRPr="00A938B3">
        <w:rPr>
          <w:rFonts w:asciiTheme="minorHAnsi" w:hAnsiTheme="minorHAnsi"/>
          <w:b/>
          <w:color w:val="000000" w:themeColor="text1"/>
          <w:sz w:val="22"/>
          <w:szCs w:val="22"/>
        </w:rPr>
        <w:t>6</w:t>
      </w:r>
      <w:r w:rsidR="00536D9D" w:rsidRPr="00A938B3">
        <w:rPr>
          <w:rFonts w:asciiTheme="minorHAnsi" w:hAnsiTheme="minorHAnsi"/>
          <w:b/>
          <w:color w:val="000000" w:themeColor="text1"/>
          <w:sz w:val="22"/>
          <w:szCs w:val="22"/>
        </w:rPr>
        <w:t>. Nazwy i kody zamówienia według Wspólnego Słownika Zamówień (CPV):</w:t>
      </w:r>
      <w:r w:rsidR="007B0EC8" w:rsidRPr="00A938B3">
        <w:rPr>
          <w:rFonts w:asciiTheme="minorHAnsi" w:hAnsiTheme="minorHAnsi"/>
          <w:b/>
          <w:color w:val="000000" w:themeColor="text1"/>
          <w:sz w:val="22"/>
          <w:szCs w:val="22"/>
        </w:rPr>
        <w:t xml:space="preserve"> </w:t>
      </w:r>
    </w:p>
    <w:p w:rsidR="00D43A82" w:rsidRPr="00A938B3" w:rsidRDefault="00A938B3" w:rsidP="00A938B3">
      <w:pPr>
        <w:pStyle w:val="Normalny1"/>
        <w:jc w:val="both"/>
        <w:rPr>
          <w:rFonts w:asciiTheme="minorHAnsi" w:hAnsiTheme="minorHAnsi" w:cstheme="minorHAnsi"/>
          <w:color w:val="00000A"/>
          <w:sz w:val="22"/>
          <w:szCs w:val="22"/>
        </w:rPr>
      </w:pPr>
      <w:r>
        <w:rPr>
          <w:rFonts w:asciiTheme="minorHAnsi" w:hAnsiTheme="minorHAnsi" w:cstheme="minorHAnsi"/>
          <w:color w:val="00000A"/>
          <w:sz w:val="22"/>
          <w:szCs w:val="22"/>
        </w:rPr>
        <w:t xml:space="preserve">32236000-6 radiotelefony, 32344100-7 przenośne odbiorniki do przywoływania, 32352100-6 części sprzętu radiowego i radarowego. </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394A76" w:rsidRDefault="002F0EEA" w:rsidP="00D43A82">
      <w:pPr>
        <w:spacing w:after="0" w:line="240" w:lineRule="auto"/>
        <w:jc w:val="both"/>
        <w:rPr>
          <w:rFonts w:cstheme="minorHAnsi"/>
          <w:bCs/>
          <w:strike/>
          <w:color w:val="FF0000"/>
        </w:rPr>
      </w:pPr>
      <w:r>
        <w:rPr>
          <w:rFonts w:cs="Arial"/>
          <w:b/>
        </w:rPr>
        <w:t>8</w:t>
      </w:r>
      <w:r w:rsidR="00C14668" w:rsidRPr="00C14668">
        <w:rPr>
          <w:rFonts w:cs="Arial"/>
          <w:b/>
        </w:rPr>
        <w:t>. Oferty równoważne:</w:t>
      </w:r>
      <w:r w:rsidR="00C14668" w:rsidRPr="000B0FEC">
        <w:rPr>
          <w:rFonts w:cs="Arial"/>
        </w:rPr>
        <w:t xml:space="preserve"> </w:t>
      </w:r>
      <w:r w:rsidR="003B206E" w:rsidRPr="00967C68">
        <w:rPr>
          <w:rFonts w:cstheme="minorHAnsi"/>
        </w:rPr>
        <w:t>Ilekroć w niniejszej Specyfikacji Warunków Zamówienia i załącznikach, przedmiot zamówienia</w:t>
      </w:r>
      <w:r w:rsidR="003B206E">
        <w:rPr>
          <w:rFonts w:cstheme="minorHAnsi"/>
        </w:rPr>
        <w:t xml:space="preserve"> </w:t>
      </w:r>
      <w:r w:rsidR="003B206E" w:rsidRPr="00616C3E">
        <w:rPr>
          <w:rFonts w:cstheme="minorHAnsi"/>
          <w:color w:val="000000" w:themeColor="text1"/>
        </w:rPr>
        <w:t>lub jego część</w:t>
      </w:r>
      <w:r w:rsidR="003B206E" w:rsidRPr="007255C0">
        <w:rPr>
          <w:rFonts w:cstheme="minorHAnsi"/>
          <w:color w:val="FF0000"/>
        </w:rPr>
        <w:t xml:space="preserve"> </w:t>
      </w:r>
      <w:r w:rsidR="003B206E" w:rsidRPr="00967C68">
        <w:rPr>
          <w:rFonts w:cstheme="minorHAnsi"/>
        </w:rPr>
        <w:t xml:space="preserve">został określony poprzez wskazanie znaków towarowych, patentów lub pochodzenia, </w:t>
      </w:r>
      <w:r w:rsidR="003B206E">
        <w:rPr>
          <w:rFonts w:cstheme="minorHAnsi"/>
        </w:rPr>
        <w:t xml:space="preserve">ocen technicznych o których mowa w art. 101 ust. 4 ustawy Pzp, </w:t>
      </w:r>
      <w:r w:rsidR="003B206E" w:rsidRPr="00967C68">
        <w:rPr>
          <w:rFonts w:cstheme="minorHAnsi"/>
        </w:rPr>
        <w:t>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3B206E">
        <w:rPr>
          <w:rFonts w:cstheme="minorHAnsi"/>
        </w:rPr>
        <w:t xml:space="preserve"> jednocześnie wskazując w opisie przedmiotu zamówienia wyrażenie „</w:t>
      </w:r>
      <w:r w:rsidR="003B206E" w:rsidRPr="00616C3E">
        <w:rPr>
          <w:rFonts w:cstheme="minorHAnsi"/>
          <w:color w:val="000000" w:themeColor="text1"/>
        </w:rPr>
        <w:t>lub równoważne” oraz  kryteria stosowane w celu oceny równoważności</w:t>
      </w:r>
      <w:r w:rsidR="003B206E" w:rsidRPr="00616C3E">
        <w:rPr>
          <w:rFonts w:cstheme="minorHAnsi"/>
          <w:bCs/>
          <w:color w:val="000000" w:themeColor="text1"/>
        </w:rPr>
        <w:t>.</w:t>
      </w:r>
      <w:r w:rsidR="003B206E">
        <w:rPr>
          <w:rFonts w:cstheme="minorHAnsi"/>
          <w:bCs/>
        </w:rPr>
        <w:t xml:space="preserve"> </w:t>
      </w:r>
      <w:r w:rsidR="003B206E" w:rsidRPr="00967C68">
        <w:rPr>
          <w:rFonts w:cstheme="minorHAnsi"/>
          <w:bCs/>
        </w:rPr>
        <w:t xml:space="preserve">W przypadku opisu przedmiotu zamówienia za pomocą norm, aprobat, </w:t>
      </w:r>
      <w:r w:rsidR="003B206E">
        <w:rPr>
          <w:rFonts w:cstheme="minorHAnsi"/>
          <w:bCs/>
        </w:rPr>
        <w:t xml:space="preserve">ocen technicznych, </w:t>
      </w:r>
      <w:r w:rsidR="003B206E" w:rsidRPr="00967C68">
        <w:rPr>
          <w:rFonts w:cstheme="minorHAnsi"/>
          <w:bCs/>
        </w:rPr>
        <w:t xml:space="preserve">specyfikacji technicznych i systemu odniesienia należy przyjąć, że określono wymagania minimalne </w:t>
      </w:r>
      <w:r w:rsidR="003B206E" w:rsidRPr="00616C3E">
        <w:rPr>
          <w:rFonts w:cstheme="minorHAnsi"/>
          <w:bCs/>
          <w:color w:val="000000" w:themeColor="text1"/>
        </w:rPr>
        <w:t>(wzorzec technic</w:t>
      </w:r>
      <w:r w:rsidR="003B206E">
        <w:rPr>
          <w:rFonts w:cstheme="minorHAnsi"/>
          <w:bCs/>
          <w:color w:val="000000" w:themeColor="text1"/>
        </w:rPr>
        <w:t>zny, jakościowy lub funkcjonalny</w:t>
      </w:r>
      <w:r w:rsidR="003B206E" w:rsidRPr="00967C68">
        <w:rPr>
          <w:rFonts w:cstheme="minorHAnsi"/>
          <w:bCs/>
        </w:rPr>
        <w:t xml:space="preserve">) i jednocześnie dopuszczono przyjęcie przez Wykonawcę rozwiązań równoważnych opisywanym. </w:t>
      </w:r>
    </w:p>
    <w:p w:rsidR="003B206E" w:rsidRDefault="002F0EEA" w:rsidP="003B206E">
      <w:pPr>
        <w:pStyle w:val="Bezodstpw"/>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lastRenderedPageBreak/>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r>
        <w:rPr>
          <w:color w:val="000000" w:themeColor="text1"/>
        </w:rPr>
        <w:t>P</w:t>
      </w:r>
      <w:r w:rsidR="006E0DA6" w:rsidRPr="00616C3E">
        <w:rPr>
          <w:color w:val="000000" w:themeColor="text1"/>
        </w:rPr>
        <w:t>zp).</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E77F56" w:rsidRPr="00E77F56" w:rsidRDefault="00E77F56" w:rsidP="00E77F56">
      <w:pPr>
        <w:pStyle w:val="Bezodstpw"/>
        <w:jc w:val="both"/>
      </w:pPr>
      <w:r w:rsidRPr="00E77F56">
        <w:t xml:space="preserve">Wykonawcy ubiegający się o udzielenie zamówienia zobowiązani są </w:t>
      </w:r>
      <w:r w:rsidRPr="00E77F56">
        <w:rPr>
          <w:b/>
          <w:u w:val="single"/>
        </w:rPr>
        <w:t>dołączyć do składanej oferty</w:t>
      </w:r>
      <w:r w:rsidRPr="00E77F56">
        <w:t xml:space="preserve"> przedmiotowe środki dowodowe potwierdzające że oferowana dostawa spełnia określone przez Zamawiającego wymagania, cechy i kryteria.</w:t>
      </w:r>
    </w:p>
    <w:p w:rsidR="00E77F56" w:rsidRPr="00E77F56" w:rsidRDefault="00E77F56" w:rsidP="00E77F56">
      <w:pPr>
        <w:pStyle w:val="Addressee"/>
        <w:jc w:val="both"/>
        <w:rPr>
          <w:rFonts w:asciiTheme="minorHAnsi" w:hAnsiTheme="minorHAnsi"/>
        </w:rPr>
      </w:pPr>
      <w:r w:rsidRPr="00E77F56">
        <w:rPr>
          <w:rFonts w:asciiTheme="minorHAnsi" w:hAnsiTheme="minorHAnsi"/>
        </w:rPr>
        <w:t>1. Wykaz przedmiotowych środków dowodowych, które należy złożyć wraz  z ofertą:</w:t>
      </w:r>
    </w:p>
    <w:p w:rsidR="00E77F56" w:rsidRPr="00E77F56" w:rsidRDefault="00E77F56" w:rsidP="00E77F56">
      <w:pPr>
        <w:pStyle w:val="DocumentMap"/>
        <w:jc w:val="both"/>
        <w:rPr>
          <w:rStyle w:val="apple-converted-space"/>
          <w:rFonts w:asciiTheme="minorHAnsi" w:eastAsiaTheme="majorEastAsia" w:hAnsiTheme="minorHAnsi"/>
          <w:color w:val="000000" w:themeColor="text1"/>
          <w:sz w:val="22"/>
          <w:szCs w:val="22"/>
        </w:rPr>
      </w:pPr>
      <w:r w:rsidRPr="00E77F56">
        <w:rPr>
          <w:rStyle w:val="apple-converted-space"/>
          <w:rFonts w:asciiTheme="minorHAnsi" w:eastAsiaTheme="majorEastAsia" w:hAnsiTheme="minorHAnsi"/>
          <w:sz w:val="22"/>
          <w:szCs w:val="22"/>
        </w:rPr>
        <w:t xml:space="preserve">1.2. </w:t>
      </w:r>
      <w:r w:rsidRPr="00616592">
        <w:rPr>
          <w:rStyle w:val="apple-converted-space"/>
          <w:rFonts w:asciiTheme="minorHAnsi" w:eastAsiaTheme="majorEastAsia" w:hAnsiTheme="minorHAnsi"/>
          <w:b/>
          <w:sz w:val="22"/>
          <w:szCs w:val="22"/>
        </w:rPr>
        <w:t>dokument</w:t>
      </w:r>
      <w:r w:rsidR="00616592" w:rsidRPr="00616592">
        <w:rPr>
          <w:rStyle w:val="apple-converted-space"/>
          <w:rFonts w:asciiTheme="minorHAnsi" w:eastAsiaTheme="majorEastAsia" w:hAnsiTheme="minorHAnsi"/>
          <w:b/>
          <w:sz w:val="22"/>
          <w:szCs w:val="22"/>
        </w:rPr>
        <w:t>y</w:t>
      </w:r>
      <w:r w:rsidRPr="00616592">
        <w:rPr>
          <w:rStyle w:val="apple-converted-space"/>
          <w:rFonts w:asciiTheme="minorHAnsi" w:eastAsiaTheme="majorEastAsia" w:hAnsiTheme="minorHAnsi"/>
          <w:b/>
          <w:sz w:val="22"/>
          <w:szCs w:val="22"/>
        </w:rPr>
        <w:t xml:space="preserve"> potwierdzających parametry oferowanego sprzętu (karty katalogowe, wydruki ze strony internetowej producenta, foldery, prospekty, instrukcje obsługi i inne równoważne dokumenty)</w:t>
      </w:r>
      <w:r w:rsidRPr="00E77F56">
        <w:rPr>
          <w:rStyle w:val="apple-converted-space"/>
          <w:rFonts w:asciiTheme="minorHAnsi" w:eastAsiaTheme="majorEastAsia" w:hAnsiTheme="minorHAnsi"/>
          <w:sz w:val="22"/>
          <w:szCs w:val="22"/>
        </w:rPr>
        <w:t xml:space="preserve"> zawierające opisy oferowanego przedmiotu zamówienia i potwierdzające co najmniej wymagania i funkcjonalności wskazane </w:t>
      </w:r>
      <w:r w:rsidR="00616592">
        <w:rPr>
          <w:rStyle w:val="apple-converted-space"/>
          <w:rFonts w:asciiTheme="minorHAnsi" w:eastAsiaTheme="majorEastAsia" w:hAnsiTheme="minorHAnsi"/>
          <w:sz w:val="22"/>
          <w:szCs w:val="22"/>
        </w:rPr>
        <w:t>w pkt 1.2.</w:t>
      </w:r>
      <w:r w:rsidRPr="00E77F56">
        <w:rPr>
          <w:rStyle w:val="apple-converted-space"/>
          <w:rFonts w:asciiTheme="minorHAnsi" w:eastAsiaTheme="majorEastAsia" w:hAnsiTheme="minorHAnsi"/>
          <w:sz w:val="22"/>
          <w:szCs w:val="22"/>
        </w:rPr>
        <w:t xml:space="preserve"> </w:t>
      </w:r>
    </w:p>
    <w:p w:rsidR="00E77F56" w:rsidRPr="00252367" w:rsidRDefault="00616592" w:rsidP="00252367">
      <w:pPr>
        <w:pStyle w:val="DocumentMap"/>
        <w:jc w:val="both"/>
        <w:rPr>
          <w:rStyle w:val="apple-converted-space"/>
          <w:rFonts w:asciiTheme="minorHAnsi" w:eastAsiaTheme="majorEastAsia" w:hAnsiTheme="minorHAnsi"/>
          <w:color w:val="auto"/>
          <w:sz w:val="22"/>
          <w:szCs w:val="22"/>
          <w:u w:val="single"/>
        </w:rPr>
      </w:pPr>
      <w:r w:rsidRPr="00252367">
        <w:rPr>
          <w:rStyle w:val="apple-converted-space"/>
          <w:rFonts w:asciiTheme="minorHAnsi" w:eastAsiaTheme="majorEastAsia" w:hAnsiTheme="minorHAnsi"/>
          <w:color w:val="auto"/>
          <w:sz w:val="22"/>
          <w:szCs w:val="22"/>
        </w:rPr>
        <w:t>1.2.</w:t>
      </w:r>
      <w:r w:rsidR="00E77F56" w:rsidRPr="00252367">
        <w:rPr>
          <w:rStyle w:val="apple-converted-space"/>
          <w:rFonts w:asciiTheme="minorHAnsi" w:eastAsiaTheme="majorEastAsia" w:hAnsiTheme="minorHAnsi"/>
          <w:color w:val="auto"/>
          <w:sz w:val="22"/>
          <w:szCs w:val="22"/>
        </w:rPr>
        <w:t xml:space="preserve"> </w:t>
      </w:r>
      <w:r w:rsidR="00E77F56" w:rsidRPr="00252367">
        <w:rPr>
          <w:rStyle w:val="apple-converted-space"/>
          <w:rFonts w:asciiTheme="minorHAnsi" w:eastAsiaTheme="majorEastAsia" w:hAnsiTheme="minorHAnsi"/>
          <w:color w:val="auto"/>
          <w:sz w:val="22"/>
          <w:szCs w:val="22"/>
          <w:u w:val="single"/>
        </w:rPr>
        <w:t>Kart</w:t>
      </w:r>
      <w:r w:rsidR="00252367">
        <w:rPr>
          <w:rStyle w:val="apple-converted-space"/>
          <w:rFonts w:asciiTheme="minorHAnsi" w:eastAsiaTheme="majorEastAsia" w:hAnsiTheme="minorHAnsi"/>
          <w:color w:val="auto"/>
          <w:sz w:val="22"/>
          <w:szCs w:val="22"/>
          <w:u w:val="single"/>
        </w:rPr>
        <w:t>y</w:t>
      </w:r>
      <w:r w:rsidR="00E77F56" w:rsidRPr="00252367">
        <w:rPr>
          <w:rStyle w:val="apple-converted-space"/>
          <w:rFonts w:asciiTheme="minorHAnsi" w:eastAsiaTheme="majorEastAsia" w:hAnsiTheme="minorHAnsi"/>
          <w:color w:val="auto"/>
          <w:sz w:val="22"/>
          <w:szCs w:val="22"/>
          <w:u w:val="single"/>
        </w:rPr>
        <w:t xml:space="preserve"> katalogow</w:t>
      </w:r>
      <w:r w:rsidR="00252367">
        <w:rPr>
          <w:rStyle w:val="apple-converted-space"/>
          <w:rFonts w:asciiTheme="minorHAnsi" w:eastAsiaTheme="majorEastAsia" w:hAnsiTheme="minorHAnsi"/>
          <w:color w:val="auto"/>
          <w:sz w:val="22"/>
          <w:szCs w:val="22"/>
          <w:u w:val="single"/>
        </w:rPr>
        <w:t>e</w:t>
      </w:r>
      <w:r w:rsidR="00E77F56" w:rsidRPr="00252367">
        <w:rPr>
          <w:rStyle w:val="apple-converted-space"/>
          <w:rFonts w:asciiTheme="minorHAnsi" w:eastAsiaTheme="majorEastAsia" w:hAnsiTheme="minorHAnsi"/>
          <w:color w:val="auto"/>
          <w:sz w:val="22"/>
          <w:szCs w:val="22"/>
          <w:u w:val="single"/>
        </w:rPr>
        <w:t xml:space="preserve"> </w:t>
      </w:r>
      <w:r w:rsidR="00252367">
        <w:rPr>
          <w:rStyle w:val="apple-converted-space"/>
          <w:rFonts w:asciiTheme="minorHAnsi" w:eastAsiaTheme="majorEastAsia" w:hAnsiTheme="minorHAnsi"/>
          <w:color w:val="auto"/>
          <w:sz w:val="22"/>
          <w:szCs w:val="22"/>
          <w:u w:val="single"/>
        </w:rPr>
        <w:t>dla poszczególnych urządzeń muszą</w:t>
      </w:r>
      <w:r w:rsidR="00E77F56" w:rsidRPr="00252367">
        <w:rPr>
          <w:rStyle w:val="apple-converted-space"/>
          <w:rFonts w:asciiTheme="minorHAnsi" w:eastAsiaTheme="majorEastAsia" w:hAnsiTheme="minorHAnsi"/>
          <w:color w:val="auto"/>
          <w:sz w:val="22"/>
          <w:szCs w:val="22"/>
          <w:u w:val="single"/>
        </w:rPr>
        <w:t xml:space="preserve"> zawierać co najmniej następujące informacje:</w:t>
      </w:r>
    </w:p>
    <w:p w:rsidR="00252367" w:rsidRDefault="00252367" w:rsidP="00252367">
      <w:pPr>
        <w:ind w:left="142" w:hanging="142"/>
        <w:jc w:val="center"/>
        <w:rPr>
          <w:rFonts w:ascii="Calibri" w:hAnsi="Calibri" w:cs="Calibri"/>
          <w:u w:val="single"/>
        </w:rPr>
      </w:pPr>
      <w:r>
        <w:rPr>
          <w:rFonts w:ascii="Calibri" w:hAnsi="Calibri" w:cs="Calibri"/>
          <w:b/>
          <w:bCs/>
          <w:color w:val="000000"/>
          <w:u w:val="single"/>
        </w:rPr>
        <w:t>Radiotelefon UHF TETRA przewoźny/biurkowy/do modułu RACK.</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rPr>
        <w:t>radiotelefon  musi pracować w zakresie</w:t>
      </w:r>
      <w:r>
        <w:rPr>
          <w:rFonts w:ascii="Calibri" w:hAnsi="Calibri" w:cs="Calibri"/>
          <w:color w:val="000000"/>
        </w:rPr>
        <w:t xml:space="preserve"> częstotliwości pracy w trybie trankingowym (TMO) 380 - 430 MHz</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pracować w zakresie częstotliwości pracy w trybie bezpośrednim (DMO) 380 - 430 MHz</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musi zapewniać szyfrowanie zgodnie z algorytmem TEA2 i w tym zakresie musi mieć uaktywnione wymagane licencje</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posiadać możliwość stosowania dynamicznej zmiany kluczy szyfrujących (GCK, DCK, CCK, SCK) drogą radiową (OTAR).</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obsługiwać częstotliwości znamionowe i numerację kanałów TETRA zgodnie ze specyfikacją ETSI TS 100 392-15 V1.5.1.</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posiadać gotowość do pracy z szyfrowaniem E2E (end to end).</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być przystosowany do wprowadzenia szyfrowania E2E zgodnego ze standardem ETSI TETRA o długości klucza 256 bitów (AES256) przez doposażenie w przyszłości w dodatkowy, wewnętrzny moduł i/lub upgrade oprogramowania i/lub zakup licencji.</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posiadać możliwość pracy zarówno w trybie szyfrowanym jak i w trybie jawnym (CLEAR).</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posiadać możliwość szyfrowania korespondencji kluczem SCK w sytuacji, kiedy szyfrowanie korespondencji kluczem DCK jest niedostępne</w:t>
      </w:r>
    </w:p>
    <w:p w:rsidR="00252367" w:rsidRDefault="00252367" w:rsidP="00252367">
      <w:pPr>
        <w:pStyle w:val="Akapitzlist"/>
        <w:widowControl w:val="0"/>
        <w:numPr>
          <w:ilvl w:val="0"/>
          <w:numId w:val="13"/>
        </w:numPr>
        <w:suppressAutoHyphens/>
        <w:spacing w:after="0" w:line="240" w:lineRule="auto"/>
        <w:ind w:left="1443" w:hanging="1103"/>
        <w:contextualSpacing w:val="0"/>
        <w:jc w:val="both"/>
      </w:pPr>
      <w:r>
        <w:rPr>
          <w:rFonts w:ascii="Calibri" w:hAnsi="Calibri" w:cs="Calibri"/>
          <w:color w:val="000000"/>
        </w:rPr>
        <w:t>radiotelefon musi posiadać aktywne tryby pracy: TMO/DMO Gateway i DMO Repeater</w:t>
      </w:r>
    </w:p>
    <w:p w:rsidR="00252367" w:rsidRDefault="00252367" w:rsidP="00252367">
      <w:pPr>
        <w:jc w:val="center"/>
      </w:pPr>
    </w:p>
    <w:p w:rsidR="00252367" w:rsidRDefault="00252367" w:rsidP="00252367">
      <w:pPr>
        <w:ind w:left="142" w:hanging="142"/>
        <w:jc w:val="center"/>
        <w:rPr>
          <w:rFonts w:ascii="Calibri" w:hAnsi="Calibri" w:cs="Calibri"/>
          <w:u w:val="single"/>
        </w:rPr>
      </w:pPr>
      <w:r>
        <w:rPr>
          <w:rFonts w:ascii="Calibri" w:hAnsi="Calibri" w:cs="Calibri"/>
          <w:b/>
          <w:bCs/>
          <w:color w:val="000000"/>
          <w:u w:val="single"/>
        </w:rPr>
        <w:t>Radiotelefon UHF TETRA nasobny.</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rPr>
        <w:t>radiotelefon  musi pracować w zakresie</w:t>
      </w:r>
      <w:r>
        <w:rPr>
          <w:rFonts w:ascii="Calibri" w:hAnsi="Calibri" w:cs="Calibri"/>
          <w:color w:val="000000"/>
        </w:rPr>
        <w:t xml:space="preserve"> częstotliwości pracy w trybie trankingowym (TMO) 380 - 430 MHz</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pracować w zakresie częstotliwości pracy w trybie bezpośrednim (DMO) 380 - 430 MHz</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musi zapewniać szyfrowanie zgodnie z algorytmem TEA2 i w tym zakresie musi mieć uaktywnione wymagane licencje</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lastRenderedPageBreak/>
        <w:t>radiotelefon musi posiadać możliwość stosowania dynamicznej zmiany kluczy szyfrujących (GCK, DCK, CCK, SCK) drogą radiową (OTAR).</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obsługiwać częstotliwości znamionowe i numerację kanałów TETRA zgodnie ze specyfikacją ETSI TS 100 392-15 V1.5.1.</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posiadać odporność na narażenia mechaniczne, wibracje, udary i spadek swobodny: klasa 7M3 według normy ETSI EN300 019-1-7</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posiadać gotowość do pracy z szyfrowaniem E2E (end to end).</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być przystosowany do wprowadzenia szyfrowania E2E zgodnego ze standardem ETSI TETRA o długości klucza 256 bitów (AES256) przez doposażenie w przyszłości w dodatkowy, wewnętrzny moduł i/lub upgrade oprogramowania i/lub zakup licencji.</w:t>
      </w:r>
    </w:p>
    <w:p w:rsidR="00252367" w:rsidRDefault="00252367" w:rsidP="00252367">
      <w:pPr>
        <w:numPr>
          <w:ilvl w:val="0"/>
          <w:numId w:val="13"/>
        </w:numPr>
        <w:suppressAutoHyphens/>
        <w:spacing w:after="0" w:line="240" w:lineRule="auto"/>
        <w:rPr>
          <w:rFonts w:ascii="Calibri" w:hAnsi="Calibri" w:cs="Calibri"/>
          <w:color w:val="000000"/>
        </w:rPr>
      </w:pPr>
      <w:r>
        <w:rPr>
          <w:rFonts w:ascii="Calibri" w:hAnsi="Calibri" w:cs="Calibri"/>
          <w:color w:val="000000"/>
        </w:rPr>
        <w:t>radiotelefon musi posiadać możliwość pracy zarówno w trybie szyfrowanym jak i w trybie jawnym (CLEAR).</w:t>
      </w:r>
    </w:p>
    <w:p w:rsidR="00252367" w:rsidRDefault="00252367" w:rsidP="00252367">
      <w:pPr>
        <w:numPr>
          <w:ilvl w:val="0"/>
          <w:numId w:val="13"/>
        </w:numPr>
        <w:suppressAutoHyphens/>
        <w:spacing w:after="0" w:line="240" w:lineRule="auto"/>
      </w:pPr>
      <w:r>
        <w:rPr>
          <w:rFonts w:ascii="Calibri" w:hAnsi="Calibri" w:cs="Calibri"/>
          <w:color w:val="000000"/>
        </w:rPr>
        <w:t>radiotelefon  musi posiadać możliwość szyfrowania korespondencji kluczem SCK w sytuacji, kiedy szyfrowanie korespondencji kluczem DCK jest niedostępne</w:t>
      </w:r>
    </w:p>
    <w:p w:rsidR="00252367" w:rsidRDefault="00252367" w:rsidP="00252367">
      <w:pPr>
        <w:ind w:left="142" w:hanging="142"/>
        <w:jc w:val="center"/>
      </w:pPr>
    </w:p>
    <w:p w:rsidR="00252367" w:rsidRPr="00252367" w:rsidRDefault="00252367" w:rsidP="00252367">
      <w:pPr>
        <w:jc w:val="center"/>
        <w:rPr>
          <w:rFonts w:ascii="Calibri" w:hAnsi="Calibri" w:cs="Calibri"/>
          <w:u w:val="single"/>
        </w:rPr>
      </w:pPr>
      <w:r>
        <w:rPr>
          <w:rFonts w:ascii="Calibri" w:hAnsi="Calibri" w:cs="Calibri"/>
          <w:b/>
          <w:bCs/>
          <w:color w:val="000000"/>
          <w:u w:val="single"/>
        </w:rPr>
        <w:t>Radiotelefon VHF DMR przewoźny/biurkowy/do modułu RACK.</w:t>
      </w:r>
    </w:p>
    <w:p w:rsidR="00252367" w:rsidRDefault="00252367" w:rsidP="00252367">
      <w:pPr>
        <w:numPr>
          <w:ilvl w:val="0"/>
          <w:numId w:val="12"/>
        </w:numPr>
        <w:suppressAutoHyphens/>
        <w:spacing w:after="0" w:line="240" w:lineRule="auto"/>
        <w:rPr>
          <w:rFonts w:ascii="Calibri" w:hAnsi="Calibri" w:cs="Calibri"/>
        </w:rPr>
      </w:pPr>
      <w:r>
        <w:rPr>
          <w:rFonts w:ascii="Calibri" w:hAnsi="Calibri" w:cs="Calibri"/>
          <w:color w:val="000000"/>
        </w:rPr>
        <w:t>radiotelefon musi pracować w paśmie częstotliwości pracy 148-174 MHz.</w:t>
      </w:r>
    </w:p>
    <w:p w:rsidR="00252367" w:rsidRDefault="00252367" w:rsidP="00252367">
      <w:pPr>
        <w:numPr>
          <w:ilvl w:val="0"/>
          <w:numId w:val="12"/>
        </w:numPr>
        <w:suppressAutoHyphens/>
        <w:spacing w:after="0" w:line="240" w:lineRule="auto"/>
        <w:rPr>
          <w:rFonts w:ascii="Calibri" w:hAnsi="Calibri" w:cs="Calibri"/>
          <w:color w:val="000000"/>
        </w:rPr>
      </w:pPr>
      <w:r>
        <w:rPr>
          <w:rFonts w:ascii="Calibri" w:hAnsi="Calibri" w:cs="Calibri"/>
        </w:rPr>
        <w:t>radiotelefon musi p</w:t>
      </w:r>
      <w:r>
        <w:rPr>
          <w:rFonts w:ascii="Calibri" w:hAnsi="Calibri" w:cs="Calibri"/>
          <w:color w:val="000000"/>
        </w:rPr>
        <w:t>racować w standardach: cyfrowym ETSI TS 102 361 -1, -2, -3 (Tier II, Linked Capacity Plus) oraz w systemie analogowym: w trybach simpleks/duosimpleks.</w:t>
      </w:r>
    </w:p>
    <w:p w:rsidR="00252367" w:rsidRDefault="00252367" w:rsidP="00252367">
      <w:pPr>
        <w:numPr>
          <w:ilvl w:val="0"/>
          <w:numId w:val="12"/>
        </w:numPr>
        <w:suppressAutoHyphens/>
        <w:spacing w:after="0" w:line="240" w:lineRule="auto"/>
        <w:rPr>
          <w:rFonts w:ascii="Calibri" w:hAnsi="Calibri" w:cs="Calibri"/>
          <w:color w:val="000000"/>
        </w:rPr>
      </w:pPr>
      <w:r>
        <w:rPr>
          <w:rFonts w:ascii="Calibri" w:hAnsi="Calibri" w:cs="Calibri"/>
          <w:color w:val="000000"/>
        </w:rPr>
        <w:t>radiotelefon musi posiadać możliwość maskowania w trybie cyfrowym ARC-4 (40 bitów)</w:t>
      </w:r>
    </w:p>
    <w:p w:rsidR="00252367" w:rsidRDefault="00252367" w:rsidP="00252367">
      <w:pPr>
        <w:numPr>
          <w:ilvl w:val="0"/>
          <w:numId w:val="12"/>
        </w:numPr>
        <w:suppressAutoHyphens/>
        <w:spacing w:after="0" w:line="240" w:lineRule="auto"/>
        <w:rPr>
          <w:rFonts w:ascii="Calibri" w:hAnsi="Calibri" w:cs="Calibri"/>
          <w:color w:val="000000"/>
        </w:rPr>
      </w:pPr>
      <w:r>
        <w:rPr>
          <w:rFonts w:ascii="Calibri" w:hAnsi="Calibri" w:cs="Calibri"/>
          <w:color w:val="000000"/>
        </w:rPr>
        <w:t>radiotelefon musi posiadać możliwość pracy w systemie przemiennikowym z włączoną funkcją „Ograniczonego dostępu do systemu z kluczem RAS”</w:t>
      </w:r>
    </w:p>
    <w:p w:rsidR="00252367" w:rsidRDefault="00252367" w:rsidP="00252367">
      <w:pPr>
        <w:numPr>
          <w:ilvl w:val="0"/>
          <w:numId w:val="12"/>
        </w:numPr>
        <w:suppressAutoHyphens/>
        <w:spacing w:after="0" w:line="240" w:lineRule="auto"/>
        <w:rPr>
          <w:rFonts w:ascii="Calibri" w:hAnsi="Calibri" w:cs="Calibri"/>
          <w:color w:val="000000"/>
        </w:rPr>
      </w:pPr>
      <w:r>
        <w:rPr>
          <w:rFonts w:ascii="Calibri" w:hAnsi="Calibri" w:cs="Calibri"/>
          <w:color w:val="000000"/>
        </w:rPr>
        <w:t>radiotelefon musi posiadać moc wyjściowa fali nośnej nadajnika programowaną w całym zakresie częstotliwości od 1 W do 25 W (tylko w trybie serwisowym)</w:t>
      </w:r>
    </w:p>
    <w:p w:rsidR="00252367" w:rsidRDefault="00252367" w:rsidP="00252367">
      <w:pPr>
        <w:numPr>
          <w:ilvl w:val="0"/>
          <w:numId w:val="12"/>
        </w:numPr>
        <w:suppressAutoHyphens/>
        <w:spacing w:after="0" w:line="240" w:lineRule="auto"/>
      </w:pPr>
      <w:r>
        <w:rPr>
          <w:rFonts w:ascii="Calibri" w:hAnsi="Calibri" w:cs="Calibri"/>
          <w:color w:val="000000"/>
        </w:rPr>
        <w:t>radiotelefon musi posiadać możliwość programowania drogą radiową (OTAP)</w:t>
      </w:r>
    </w:p>
    <w:p w:rsidR="00252367" w:rsidRDefault="00252367" w:rsidP="00252367"/>
    <w:p w:rsidR="00252367" w:rsidRDefault="00252367" w:rsidP="00252367">
      <w:pPr>
        <w:ind w:left="142" w:hanging="142"/>
        <w:jc w:val="center"/>
        <w:rPr>
          <w:rFonts w:ascii="Calibri" w:hAnsi="Calibri" w:cs="Calibri"/>
          <w:u w:val="single"/>
        </w:rPr>
      </w:pPr>
      <w:r>
        <w:rPr>
          <w:rFonts w:ascii="Calibri" w:hAnsi="Calibri" w:cs="Calibri"/>
          <w:b/>
          <w:bCs/>
          <w:color w:val="000000"/>
          <w:u w:val="single"/>
        </w:rPr>
        <w:t>Radiotelefon VHF DMR nasobny.</w:t>
      </w:r>
    </w:p>
    <w:p w:rsidR="00252367" w:rsidRDefault="00252367" w:rsidP="00252367">
      <w:pPr>
        <w:numPr>
          <w:ilvl w:val="0"/>
          <w:numId w:val="12"/>
        </w:numPr>
        <w:suppressAutoHyphens/>
        <w:spacing w:after="0" w:line="240" w:lineRule="auto"/>
        <w:rPr>
          <w:rFonts w:ascii="Calibri" w:hAnsi="Calibri" w:cs="Calibri"/>
        </w:rPr>
      </w:pPr>
      <w:r>
        <w:rPr>
          <w:rFonts w:ascii="Calibri" w:hAnsi="Calibri" w:cs="Calibri"/>
          <w:color w:val="000000"/>
        </w:rPr>
        <w:t>radiotelefon musi pracować w paśmie częstotliwości pracy 148-174 MHz.</w:t>
      </w:r>
    </w:p>
    <w:p w:rsidR="00252367" w:rsidRDefault="00252367" w:rsidP="00252367">
      <w:pPr>
        <w:numPr>
          <w:ilvl w:val="0"/>
          <w:numId w:val="12"/>
        </w:numPr>
        <w:suppressAutoHyphens/>
        <w:spacing w:after="0" w:line="240" w:lineRule="auto"/>
        <w:rPr>
          <w:rFonts w:ascii="Calibri" w:hAnsi="Calibri" w:cs="Calibri"/>
          <w:color w:val="000000"/>
        </w:rPr>
      </w:pPr>
      <w:r>
        <w:rPr>
          <w:rFonts w:ascii="Calibri" w:hAnsi="Calibri" w:cs="Calibri"/>
        </w:rPr>
        <w:t>radiotelefon musi p</w:t>
      </w:r>
      <w:r>
        <w:rPr>
          <w:rFonts w:ascii="Calibri" w:hAnsi="Calibri" w:cs="Calibri"/>
          <w:color w:val="000000"/>
        </w:rPr>
        <w:t>racować w standardach: cyfrowym ETSI TS 102 361 -1, -2, -3 (Tier II, Linked Capacity Plus) oraz w systemie analogowym: w trybach simpleks/duosimpleks.</w:t>
      </w:r>
    </w:p>
    <w:p w:rsidR="00252367" w:rsidRDefault="00252367" w:rsidP="00252367">
      <w:pPr>
        <w:numPr>
          <w:ilvl w:val="0"/>
          <w:numId w:val="12"/>
        </w:numPr>
        <w:suppressAutoHyphens/>
        <w:spacing w:after="0" w:line="240" w:lineRule="auto"/>
        <w:rPr>
          <w:rFonts w:ascii="Calibri" w:hAnsi="Calibri" w:cs="Calibri"/>
          <w:color w:val="000000"/>
        </w:rPr>
      </w:pPr>
      <w:r>
        <w:rPr>
          <w:rFonts w:ascii="Calibri" w:hAnsi="Calibri" w:cs="Calibri"/>
          <w:color w:val="000000"/>
        </w:rPr>
        <w:t>radiotelefon musi posiadać możliwość maskowania w trybie cyfrowym ARC-4 (40 bitów)</w:t>
      </w:r>
    </w:p>
    <w:p w:rsidR="00252367" w:rsidRDefault="00252367" w:rsidP="00252367">
      <w:pPr>
        <w:numPr>
          <w:ilvl w:val="0"/>
          <w:numId w:val="12"/>
        </w:numPr>
        <w:suppressAutoHyphens/>
        <w:spacing w:after="0" w:line="240" w:lineRule="auto"/>
      </w:pPr>
      <w:r>
        <w:rPr>
          <w:rFonts w:ascii="Calibri" w:hAnsi="Calibri" w:cs="Calibri"/>
          <w:color w:val="000000"/>
        </w:rPr>
        <w:t>radiotelefon musi posiadać możliwość pracy w systemie przemiennikowym z włączoną funkcją „Ograniczonego dostępu do systemu z kluczem RAS”</w:t>
      </w:r>
    </w:p>
    <w:p w:rsidR="00252367" w:rsidRDefault="00252367" w:rsidP="00252367">
      <w:pPr>
        <w:ind w:left="142" w:hanging="142"/>
        <w:jc w:val="center"/>
      </w:pPr>
    </w:p>
    <w:p w:rsidR="00252367" w:rsidRDefault="00252367" w:rsidP="00252367">
      <w:pPr>
        <w:ind w:left="142" w:hanging="142"/>
        <w:jc w:val="center"/>
        <w:rPr>
          <w:rFonts w:ascii="Calibri" w:hAnsi="Calibri" w:cs="Calibri"/>
          <w:u w:val="single"/>
        </w:rPr>
      </w:pPr>
      <w:r>
        <w:rPr>
          <w:rFonts w:ascii="Calibri" w:hAnsi="Calibri" w:cs="Calibri"/>
          <w:b/>
          <w:bCs/>
          <w:color w:val="000000"/>
          <w:u w:val="single"/>
        </w:rPr>
        <w:t>Zdalne sterowanie Moduł radiokomunikacyjny/interfejs radiowy/RACK.</w:t>
      </w:r>
    </w:p>
    <w:p w:rsidR="00252367" w:rsidRDefault="00252367" w:rsidP="00252367">
      <w:pPr>
        <w:numPr>
          <w:ilvl w:val="0"/>
          <w:numId w:val="14"/>
        </w:numPr>
        <w:suppressAutoHyphens/>
        <w:spacing w:after="0" w:line="240" w:lineRule="auto"/>
        <w:rPr>
          <w:rFonts w:ascii="Calibri" w:hAnsi="Calibri" w:cs="Calibri"/>
          <w:color w:val="000000"/>
        </w:rPr>
      </w:pPr>
      <w:r>
        <w:rPr>
          <w:rFonts w:ascii="Calibri" w:hAnsi="Calibri" w:cs="Calibri"/>
        </w:rPr>
        <w:t xml:space="preserve">moduł musi </w:t>
      </w:r>
      <w:r>
        <w:rPr>
          <w:rFonts w:ascii="Calibri" w:hAnsi="Calibri" w:cs="Calibri"/>
          <w:color w:val="000000"/>
        </w:rPr>
        <w:t>umożliwiać sterowanie radiotelefonem bazowym w technologii IP.</w:t>
      </w:r>
    </w:p>
    <w:p w:rsidR="00252367" w:rsidRDefault="00252367" w:rsidP="00252367">
      <w:pPr>
        <w:numPr>
          <w:ilvl w:val="0"/>
          <w:numId w:val="14"/>
        </w:numPr>
        <w:suppressAutoHyphens/>
        <w:spacing w:after="0" w:line="240" w:lineRule="auto"/>
        <w:rPr>
          <w:rFonts w:ascii="Calibri" w:hAnsi="Calibri" w:cs="Calibri"/>
          <w:color w:val="000000"/>
        </w:rPr>
      </w:pPr>
      <w:r>
        <w:rPr>
          <w:rFonts w:ascii="Calibri" w:hAnsi="Calibri" w:cs="Calibri"/>
          <w:color w:val="000000"/>
        </w:rPr>
        <w:t>moduł musi zapewniać pełne odwzorowanie wyświetlacza oraz przeniesienie funkcji przycisków i audio wykorzystujący technologię IP</w:t>
      </w:r>
    </w:p>
    <w:p w:rsidR="00252367" w:rsidRDefault="00252367" w:rsidP="00252367">
      <w:pPr>
        <w:numPr>
          <w:ilvl w:val="0"/>
          <w:numId w:val="14"/>
        </w:numPr>
        <w:suppressAutoHyphens/>
        <w:spacing w:after="0" w:line="240" w:lineRule="auto"/>
        <w:rPr>
          <w:rFonts w:ascii="Calibri" w:hAnsi="Calibri" w:cs="Calibri"/>
          <w:color w:val="000000"/>
        </w:rPr>
      </w:pPr>
      <w:r>
        <w:rPr>
          <w:rFonts w:ascii="Calibri" w:hAnsi="Calibri" w:cs="Calibri"/>
          <w:color w:val="000000"/>
        </w:rPr>
        <w:t>moduł musi umożliwiać przeniesienie na duże odległości funkcji radiotelefonu.</w:t>
      </w:r>
    </w:p>
    <w:p w:rsidR="00252367" w:rsidRDefault="00252367" w:rsidP="00252367">
      <w:pPr>
        <w:numPr>
          <w:ilvl w:val="0"/>
          <w:numId w:val="14"/>
        </w:numPr>
        <w:suppressAutoHyphens/>
        <w:spacing w:after="0" w:line="240" w:lineRule="auto"/>
        <w:rPr>
          <w:rFonts w:ascii="Calibri" w:hAnsi="Calibri" w:cs="Calibri"/>
          <w:color w:val="000000"/>
        </w:rPr>
      </w:pPr>
      <w:r>
        <w:rPr>
          <w:rFonts w:ascii="Calibri" w:hAnsi="Calibri" w:cs="Calibri"/>
          <w:color w:val="000000"/>
        </w:rPr>
        <w:t>moduł musi posiadać funkcję współużytkowania jednego radiotelefonu przez wielu użytkowników z wielu urządzeń</w:t>
      </w:r>
    </w:p>
    <w:p w:rsidR="00252367" w:rsidRDefault="00252367" w:rsidP="00252367">
      <w:pPr>
        <w:numPr>
          <w:ilvl w:val="0"/>
          <w:numId w:val="14"/>
        </w:numPr>
        <w:suppressAutoHyphens/>
        <w:spacing w:after="0" w:line="240" w:lineRule="auto"/>
        <w:rPr>
          <w:rFonts w:ascii="Calibri" w:hAnsi="Calibri" w:cs="Calibri"/>
          <w:color w:val="000000"/>
        </w:rPr>
      </w:pPr>
      <w:r>
        <w:rPr>
          <w:rFonts w:ascii="Calibri" w:hAnsi="Calibri" w:cs="Calibri"/>
          <w:color w:val="000000"/>
        </w:rPr>
        <w:t>moduł musi posiadać możliwość nagrywania rozmów z radiotelefonów wraz z zawartością  wyświetlacza poprzez rejestrator rozmów TRX KSRC</w:t>
      </w:r>
    </w:p>
    <w:p w:rsidR="00252367" w:rsidRDefault="00252367" w:rsidP="00252367">
      <w:pPr>
        <w:numPr>
          <w:ilvl w:val="0"/>
          <w:numId w:val="14"/>
        </w:numPr>
        <w:suppressAutoHyphens/>
        <w:spacing w:after="0" w:line="240" w:lineRule="auto"/>
        <w:rPr>
          <w:rFonts w:ascii="Calibri" w:eastAsia="Times New Roman" w:hAnsi="Calibri" w:cs="Times New Roman"/>
        </w:rPr>
      </w:pPr>
      <w:r>
        <w:rPr>
          <w:rFonts w:ascii="Calibri" w:hAnsi="Calibri" w:cs="Calibri"/>
          <w:color w:val="000000"/>
        </w:rPr>
        <w:lastRenderedPageBreak/>
        <w:t>moduł m</w:t>
      </w:r>
      <w:r>
        <w:rPr>
          <w:rFonts w:ascii="Calibri" w:eastAsia="Times New Roman" w:hAnsi="Calibri" w:cs="Times New Roman"/>
        </w:rPr>
        <w:t>usi obsługiwać poniższe modele urządzeń:</w:t>
      </w:r>
    </w:p>
    <w:p w:rsidR="00252367" w:rsidRDefault="00252367" w:rsidP="00252367">
      <w:pPr>
        <w:widowControl w:val="0"/>
        <w:shd w:val="clear" w:color="auto" w:fill="FFFFFF"/>
        <w:ind w:left="720"/>
        <w:textAlignment w:val="baseline"/>
        <w:rPr>
          <w:rFonts w:ascii="Calibri" w:eastAsia="Times New Roman" w:hAnsi="Calibri" w:cs="Times New Roman"/>
        </w:rPr>
      </w:pPr>
      <w:r>
        <w:rPr>
          <w:rFonts w:ascii="Calibri" w:eastAsia="Times New Roman" w:hAnsi="Calibri" w:cs="Times New Roman"/>
        </w:rPr>
        <w:t>Motorola DM4600 / DM4601 / DM4600e / DM4601e / DM3600 / DM3601 / GM360 / MTM5400</w:t>
      </w:r>
    </w:p>
    <w:p w:rsidR="00252367" w:rsidRPr="00252367" w:rsidRDefault="00252367" w:rsidP="00252367">
      <w:pPr>
        <w:pStyle w:val="Akapitzlist"/>
      </w:pPr>
      <w:r>
        <w:rPr>
          <w:rFonts w:eastAsia="Times New Roman" w:cs="Times New Roman"/>
        </w:rPr>
        <w:t xml:space="preserve">Hytera MD655 / </w:t>
      </w:r>
      <w:r w:rsidRPr="00252367">
        <w:t>MD655g / MD785 / MD785g / MT680 / MT680 Plus / RD625 (przemiennik)</w:t>
      </w:r>
    </w:p>
    <w:p w:rsidR="00252367" w:rsidRDefault="00252367" w:rsidP="00252367">
      <w:pPr>
        <w:pStyle w:val="Akapitzlist"/>
        <w:rPr>
          <w:lang w:val="en-US"/>
        </w:rPr>
      </w:pPr>
      <w:r>
        <w:rPr>
          <w:lang w:val="en-US"/>
        </w:rPr>
        <w:t>Ericsson EDACS Orion</w:t>
      </w:r>
    </w:p>
    <w:p w:rsidR="00252367" w:rsidRPr="00252367" w:rsidRDefault="00252367" w:rsidP="00252367">
      <w:pPr>
        <w:pStyle w:val="Akapitzlist"/>
        <w:rPr>
          <w:lang w:val="en-US"/>
        </w:rPr>
      </w:pPr>
      <w:r>
        <w:rPr>
          <w:lang w:val="en-US"/>
        </w:rPr>
        <w:t>Harris 7100, Icom F5062</w:t>
      </w:r>
    </w:p>
    <w:p w:rsidR="00252367" w:rsidRDefault="00252367" w:rsidP="00252367">
      <w:pPr>
        <w:ind w:left="142" w:hanging="142"/>
        <w:jc w:val="center"/>
        <w:rPr>
          <w:rFonts w:ascii="Calibri" w:hAnsi="Calibri" w:cs="Calibri"/>
          <w:u w:val="single"/>
        </w:rPr>
      </w:pPr>
      <w:r>
        <w:rPr>
          <w:rFonts w:ascii="Calibri" w:hAnsi="Calibri" w:cs="Calibri"/>
          <w:b/>
          <w:bCs/>
          <w:color w:val="000000"/>
          <w:u w:val="single"/>
        </w:rPr>
        <w:t>Pulpit IP do zdalnego sterowania.</w:t>
      </w:r>
    </w:p>
    <w:p w:rsidR="00252367" w:rsidRDefault="00252367" w:rsidP="00252367">
      <w:pPr>
        <w:numPr>
          <w:ilvl w:val="0"/>
          <w:numId w:val="14"/>
        </w:numPr>
        <w:suppressAutoHyphens/>
        <w:spacing w:after="0" w:line="240" w:lineRule="auto"/>
        <w:ind w:hanging="363"/>
        <w:rPr>
          <w:rFonts w:ascii="Calibri" w:hAnsi="Calibri"/>
        </w:rPr>
      </w:pPr>
      <w:r>
        <w:rPr>
          <w:rFonts w:ascii="Calibri" w:hAnsi="Calibri"/>
        </w:rPr>
        <w:t>Pulpit powinien umożliwiać obsługę bez użycia komputera</w:t>
      </w:r>
    </w:p>
    <w:p w:rsidR="00252367" w:rsidRDefault="00252367" w:rsidP="00252367">
      <w:pPr>
        <w:numPr>
          <w:ilvl w:val="0"/>
          <w:numId w:val="14"/>
        </w:numPr>
        <w:suppressAutoHyphens/>
        <w:spacing w:after="0" w:line="240" w:lineRule="auto"/>
        <w:ind w:hanging="363"/>
        <w:rPr>
          <w:rFonts w:ascii="Calibri" w:hAnsi="Calibri"/>
        </w:rPr>
      </w:pPr>
      <w:r>
        <w:rPr>
          <w:rFonts w:ascii="Calibri" w:hAnsi="Calibri"/>
        </w:rPr>
        <w:t>Urządzenie powinno posiadać wbudowany głośnik i mikrofon</w:t>
      </w:r>
    </w:p>
    <w:p w:rsidR="00252367" w:rsidRDefault="00252367" w:rsidP="00252367">
      <w:pPr>
        <w:numPr>
          <w:ilvl w:val="0"/>
          <w:numId w:val="14"/>
        </w:numPr>
        <w:suppressAutoHyphens/>
        <w:spacing w:after="0" w:line="240" w:lineRule="auto"/>
        <w:ind w:hanging="363"/>
        <w:rPr>
          <w:rFonts w:ascii="Calibri" w:hAnsi="Calibri"/>
        </w:rPr>
      </w:pPr>
      <w:r>
        <w:rPr>
          <w:rFonts w:ascii="Calibri" w:hAnsi="Calibri"/>
        </w:rPr>
        <w:t>Zasilanie: 12VDC</w:t>
      </w:r>
    </w:p>
    <w:p w:rsidR="00252367" w:rsidRDefault="00252367" w:rsidP="00252367">
      <w:pPr>
        <w:numPr>
          <w:ilvl w:val="0"/>
          <w:numId w:val="14"/>
        </w:numPr>
        <w:suppressAutoHyphens/>
        <w:spacing w:after="0" w:line="240" w:lineRule="auto"/>
        <w:ind w:hanging="363"/>
        <w:rPr>
          <w:rFonts w:ascii="Calibri" w:hAnsi="Calibri"/>
        </w:rPr>
      </w:pPr>
      <w:r>
        <w:rPr>
          <w:rFonts w:ascii="Calibri" w:hAnsi="Calibri"/>
        </w:rPr>
        <w:t>Ilość przycisków: 4</w:t>
      </w:r>
    </w:p>
    <w:p w:rsidR="00252367" w:rsidRDefault="00252367" w:rsidP="00252367">
      <w:pPr>
        <w:numPr>
          <w:ilvl w:val="0"/>
          <w:numId w:val="14"/>
        </w:numPr>
        <w:suppressAutoHyphens/>
        <w:spacing w:after="0" w:line="240" w:lineRule="auto"/>
        <w:ind w:hanging="363"/>
        <w:rPr>
          <w:rFonts w:ascii="Calibri" w:hAnsi="Calibri"/>
        </w:rPr>
      </w:pPr>
      <w:r>
        <w:rPr>
          <w:rFonts w:ascii="Calibri" w:hAnsi="Calibri"/>
        </w:rPr>
        <w:t>Ilość obsługiwanych radiotelefonów: 1</w:t>
      </w:r>
    </w:p>
    <w:p w:rsidR="00252367" w:rsidRDefault="00252367" w:rsidP="00252367">
      <w:pPr>
        <w:numPr>
          <w:ilvl w:val="0"/>
          <w:numId w:val="14"/>
        </w:numPr>
        <w:suppressAutoHyphens/>
        <w:spacing w:after="0" w:line="240" w:lineRule="auto"/>
        <w:ind w:hanging="363"/>
        <w:rPr>
          <w:rFonts w:ascii="Calibri" w:hAnsi="Calibri"/>
        </w:rPr>
      </w:pPr>
      <w:r>
        <w:rPr>
          <w:rFonts w:ascii="Calibri" w:hAnsi="Calibri"/>
        </w:rPr>
        <w:t>Pobór prądu: &lt;2A</w:t>
      </w:r>
    </w:p>
    <w:p w:rsidR="00252367" w:rsidRDefault="00252367" w:rsidP="00252367">
      <w:pPr>
        <w:numPr>
          <w:ilvl w:val="0"/>
          <w:numId w:val="14"/>
        </w:numPr>
        <w:suppressAutoHyphens/>
        <w:spacing w:after="0" w:line="240" w:lineRule="auto"/>
        <w:ind w:hanging="363"/>
        <w:rPr>
          <w:rFonts w:ascii="Calibri" w:hAnsi="Calibri"/>
        </w:rPr>
      </w:pPr>
      <w:r>
        <w:rPr>
          <w:rFonts w:ascii="Calibri" w:hAnsi="Calibri"/>
        </w:rPr>
        <w:t>Złącza: RJ45 – złącze Ethernet RJ48 – mikrofon zewnętrzny w standardzie Motorola, Jack 6,3 mm – złącze mikrofonu dynamicznego, RJ11 – złącze analogowe rejestratora</w:t>
      </w:r>
    </w:p>
    <w:p w:rsidR="00252367" w:rsidRDefault="00252367" w:rsidP="00252367">
      <w:pPr>
        <w:numPr>
          <w:ilvl w:val="0"/>
          <w:numId w:val="14"/>
        </w:numPr>
        <w:suppressAutoHyphens/>
        <w:spacing w:after="0" w:line="240" w:lineRule="auto"/>
        <w:ind w:hanging="363"/>
        <w:rPr>
          <w:rFonts w:ascii="Calibri" w:hAnsi="Calibri"/>
        </w:rPr>
      </w:pPr>
      <w:r>
        <w:rPr>
          <w:rFonts w:ascii="Calibri" w:hAnsi="Calibri"/>
        </w:rPr>
        <w:t>W zestawie powinien się znajdować dedykowany zasilacz</w:t>
      </w:r>
    </w:p>
    <w:p w:rsidR="00252367" w:rsidRPr="00252367" w:rsidRDefault="00252367" w:rsidP="00252367">
      <w:pPr>
        <w:suppressAutoHyphens/>
        <w:spacing w:after="0" w:line="240" w:lineRule="auto"/>
        <w:ind w:left="720"/>
        <w:rPr>
          <w:rFonts w:ascii="Calibri" w:hAnsi="Calibri"/>
        </w:rPr>
      </w:pPr>
    </w:p>
    <w:p w:rsidR="00252367" w:rsidRDefault="00252367" w:rsidP="00252367">
      <w:pPr>
        <w:ind w:left="142" w:hanging="142"/>
        <w:jc w:val="center"/>
        <w:rPr>
          <w:rFonts w:ascii="Calibri" w:hAnsi="Calibri" w:cs="Calibri"/>
          <w:u w:val="single"/>
        </w:rPr>
      </w:pPr>
      <w:r>
        <w:rPr>
          <w:rFonts w:ascii="Calibri" w:hAnsi="Calibri" w:cs="Calibri"/>
          <w:b/>
          <w:bCs/>
          <w:color w:val="000000"/>
          <w:u w:val="single"/>
        </w:rPr>
        <w:t>Zestaw kamuflowany do radiotelefonu MTP 3550.</w:t>
      </w:r>
    </w:p>
    <w:p w:rsidR="00252367" w:rsidRDefault="00252367" w:rsidP="00252367">
      <w:pPr>
        <w:rPr>
          <w:rFonts w:ascii="Calibri" w:hAnsi="Calibri" w:cs="Calibri"/>
          <w:u w:val="single"/>
        </w:rPr>
      </w:pPr>
      <w:r>
        <w:rPr>
          <w:rFonts w:ascii="Calibri" w:hAnsi="Calibri" w:cs="Calibri"/>
          <w:u w:val="single"/>
        </w:rPr>
        <w:t>Karta katalogowa musi zawierać co najmniej następujące informacje, że:</w:t>
      </w:r>
    </w:p>
    <w:p w:rsidR="00252367" w:rsidRDefault="00252367" w:rsidP="00252367">
      <w:pPr>
        <w:numPr>
          <w:ilvl w:val="0"/>
          <w:numId w:val="14"/>
        </w:numPr>
        <w:suppressAutoHyphens/>
        <w:spacing w:after="0" w:line="240" w:lineRule="auto"/>
        <w:ind w:hanging="363"/>
        <w:rPr>
          <w:rFonts w:ascii="Calibri" w:hAnsi="Calibri"/>
          <w:bCs/>
        </w:rPr>
      </w:pPr>
      <w:r>
        <w:rPr>
          <w:rFonts w:ascii="Calibri" w:hAnsi="Calibri"/>
        </w:rPr>
        <w:t>Zestaw powinien być z</w:t>
      </w:r>
      <w:r>
        <w:rPr>
          <w:rFonts w:ascii="Calibri" w:hAnsi="Calibri"/>
          <w:bCs/>
        </w:rPr>
        <w:t xml:space="preserve">akończony złączem przyłączanym do złącza akcesoriów </w:t>
      </w:r>
      <w:r>
        <w:rPr>
          <w:rFonts w:ascii="Calibri" w:hAnsi="Calibri"/>
          <w:bCs/>
        </w:rPr>
        <w:br/>
        <w:t>radiotelefonu Motorola MTP3550</w:t>
      </w:r>
    </w:p>
    <w:p w:rsidR="00252367" w:rsidRDefault="00252367" w:rsidP="00252367">
      <w:pPr>
        <w:widowControl w:val="0"/>
        <w:numPr>
          <w:ilvl w:val="0"/>
          <w:numId w:val="14"/>
        </w:numPr>
        <w:tabs>
          <w:tab w:val="left" w:pos="1095"/>
        </w:tabs>
        <w:suppressAutoHyphens/>
        <w:spacing w:after="0" w:line="240" w:lineRule="auto"/>
        <w:rPr>
          <w:rFonts w:ascii="Calibri" w:hAnsi="Calibri"/>
        </w:rPr>
      </w:pPr>
      <w:r>
        <w:rPr>
          <w:rFonts w:ascii="Calibri" w:hAnsi="Calibri"/>
          <w:bCs/>
        </w:rPr>
        <w:t>Przycisk nadawania (PTT) oraz mikrofon powinny być na osobnych kablach</w:t>
      </w:r>
    </w:p>
    <w:p w:rsidR="00252367" w:rsidRDefault="00252367" w:rsidP="00252367">
      <w:pPr>
        <w:numPr>
          <w:ilvl w:val="0"/>
          <w:numId w:val="14"/>
        </w:numPr>
        <w:suppressAutoHyphens/>
        <w:spacing w:after="0" w:line="240" w:lineRule="auto"/>
        <w:ind w:hanging="363"/>
        <w:rPr>
          <w:rFonts w:ascii="Calibri" w:hAnsi="Calibri"/>
          <w:bCs/>
        </w:rPr>
      </w:pPr>
      <w:r>
        <w:rPr>
          <w:rFonts w:ascii="Calibri" w:hAnsi="Calibri"/>
        </w:rPr>
        <w:t>Zestaw powinien posiadać p</w:t>
      </w:r>
      <w:r>
        <w:rPr>
          <w:rFonts w:ascii="Calibri" w:hAnsi="Calibri"/>
          <w:bCs/>
        </w:rPr>
        <w:t>rogramowalny jeden przycisk</w:t>
      </w:r>
    </w:p>
    <w:p w:rsidR="00252367" w:rsidRDefault="00252367" w:rsidP="00252367">
      <w:pPr>
        <w:numPr>
          <w:ilvl w:val="0"/>
          <w:numId w:val="14"/>
        </w:numPr>
        <w:suppressAutoHyphens/>
        <w:spacing w:after="0" w:line="240" w:lineRule="auto"/>
        <w:ind w:hanging="363"/>
        <w:rPr>
          <w:rFonts w:ascii="Calibri" w:hAnsi="Calibri"/>
        </w:rPr>
      </w:pPr>
      <w:r>
        <w:rPr>
          <w:rFonts w:ascii="Calibri" w:hAnsi="Calibri"/>
          <w:bCs/>
        </w:rPr>
        <w:t>Całość powinna być koloru czarnego z wyjątkiem przeźroczystego fonowodu</w:t>
      </w:r>
    </w:p>
    <w:p w:rsidR="00252367" w:rsidRPr="00252367" w:rsidRDefault="00252367" w:rsidP="00252367">
      <w:pPr>
        <w:suppressAutoHyphens/>
        <w:spacing w:after="0" w:line="240" w:lineRule="auto"/>
        <w:ind w:left="720"/>
        <w:rPr>
          <w:rFonts w:ascii="Calibri" w:hAnsi="Calibri"/>
        </w:rPr>
      </w:pPr>
    </w:p>
    <w:p w:rsidR="00252367" w:rsidRDefault="00252367" w:rsidP="00252367">
      <w:pPr>
        <w:ind w:left="142" w:hanging="142"/>
        <w:jc w:val="center"/>
        <w:rPr>
          <w:rFonts w:ascii="Calibri" w:hAnsi="Calibri" w:cs="Times New Roman"/>
          <w:bCs/>
          <w:u w:val="single"/>
        </w:rPr>
      </w:pPr>
      <w:r>
        <w:rPr>
          <w:rFonts w:ascii="Calibri" w:hAnsi="Calibri" w:cs="Calibri"/>
          <w:b/>
          <w:bCs/>
          <w:color w:val="000000"/>
          <w:u w:val="single"/>
        </w:rPr>
        <w:t>Stacja bazowa TETRA 4BR.</w:t>
      </w:r>
    </w:p>
    <w:p w:rsidR="00252367" w:rsidRDefault="00252367" w:rsidP="00252367">
      <w:pPr>
        <w:rPr>
          <w:rFonts w:ascii="Calibri" w:hAnsi="Calibri" w:cs="Calibri"/>
          <w:u w:val="single"/>
        </w:rPr>
      </w:pPr>
      <w:r>
        <w:rPr>
          <w:rFonts w:ascii="Calibri" w:hAnsi="Calibri" w:cs="Times New Roman"/>
          <w:bCs/>
          <w:u w:val="single"/>
        </w:rPr>
        <w:t>Karta katalogowa musi zawierać co najmniej następujące informacje, że:</w:t>
      </w:r>
    </w:p>
    <w:p w:rsidR="00252367" w:rsidRDefault="00252367" w:rsidP="00252367">
      <w:pPr>
        <w:widowControl w:val="0"/>
        <w:numPr>
          <w:ilvl w:val="0"/>
          <w:numId w:val="14"/>
        </w:numPr>
        <w:suppressAutoHyphens/>
        <w:spacing w:after="0" w:line="240" w:lineRule="auto"/>
        <w:rPr>
          <w:rFonts w:ascii="Calibri" w:hAnsi="Calibri" w:cs="Calibri"/>
        </w:rPr>
      </w:pPr>
      <w:r>
        <w:rPr>
          <w:rFonts w:ascii="Calibri" w:hAnsi="Calibri" w:cs="Calibri"/>
        </w:rPr>
        <w:t xml:space="preserve">Stacja jest </w:t>
      </w:r>
      <w:r>
        <w:rPr>
          <w:rStyle w:val="Pogrubienie1"/>
          <w:rFonts w:ascii="Calibri" w:hAnsi="Calibri" w:cs="Calibri"/>
          <w:b w:val="0"/>
          <w:bCs w:val="0"/>
          <w:shd w:val="clear" w:color="auto" w:fill="FFFFFF"/>
        </w:rPr>
        <w:t>przeznaczona do instalacji w stałych lokalizacjach oddalonych</w:t>
      </w:r>
    </w:p>
    <w:p w:rsidR="00252367" w:rsidRDefault="00252367" w:rsidP="00252367">
      <w:pPr>
        <w:widowControl w:val="0"/>
        <w:numPr>
          <w:ilvl w:val="0"/>
          <w:numId w:val="14"/>
        </w:numPr>
        <w:suppressAutoHyphens/>
        <w:spacing w:after="0" w:line="240" w:lineRule="auto"/>
        <w:rPr>
          <w:rFonts w:ascii="Calibri" w:hAnsi="Calibri"/>
        </w:rPr>
      </w:pPr>
      <w:r>
        <w:rPr>
          <w:rFonts w:ascii="Calibri" w:hAnsi="Calibri" w:cs="Calibri"/>
        </w:rPr>
        <w:t>Zakres częstotliwości pracy 380-385/390-395 MHz,przy czym zakres pracy BR co najmniej 380-400 MHz</w:t>
      </w:r>
    </w:p>
    <w:p w:rsidR="00252367" w:rsidRDefault="00252367" w:rsidP="00252367">
      <w:pPr>
        <w:widowControl w:val="0"/>
        <w:numPr>
          <w:ilvl w:val="0"/>
          <w:numId w:val="14"/>
        </w:numPr>
        <w:suppressAutoHyphens/>
        <w:spacing w:after="0" w:line="240" w:lineRule="auto"/>
        <w:rPr>
          <w:rFonts w:ascii="Calibri" w:hAnsi="Calibri" w:cs="Calibri"/>
          <w:bCs/>
        </w:rPr>
      </w:pPr>
      <w:r>
        <w:rPr>
          <w:rFonts w:ascii="Calibri" w:hAnsi="Calibri"/>
        </w:rPr>
        <w:t>Stacja posiada 4 przemienniki radiowe (16 szczelin czasowych)</w:t>
      </w:r>
    </w:p>
    <w:p w:rsidR="00252367" w:rsidRDefault="00252367" w:rsidP="00252367">
      <w:pPr>
        <w:widowControl w:val="0"/>
        <w:numPr>
          <w:ilvl w:val="0"/>
          <w:numId w:val="14"/>
        </w:numPr>
        <w:suppressAutoHyphens/>
        <w:spacing w:after="0" w:line="240" w:lineRule="auto"/>
        <w:rPr>
          <w:rStyle w:val="Pogrubienie1"/>
          <w:rFonts w:ascii="Calibri" w:hAnsi="Calibri" w:cs="Calibri"/>
          <w:b w:val="0"/>
          <w:bCs w:val="0"/>
          <w:shd w:val="clear" w:color="auto" w:fill="FFFFFF"/>
        </w:rPr>
      </w:pPr>
      <w:r>
        <w:rPr>
          <w:rFonts w:ascii="Calibri" w:hAnsi="Calibri" w:cs="Calibri"/>
          <w:bCs/>
        </w:rPr>
        <w:t>Odbiór zbiorczy; pojedynczy, podwójny lub potrójny odbiór zbiorczy, z duplekserem lub bez</w:t>
      </w:r>
    </w:p>
    <w:p w:rsidR="00252367" w:rsidRPr="00252367" w:rsidRDefault="00252367" w:rsidP="00252367">
      <w:pPr>
        <w:widowControl w:val="0"/>
        <w:numPr>
          <w:ilvl w:val="0"/>
          <w:numId w:val="14"/>
        </w:numPr>
        <w:suppressAutoHyphens/>
        <w:spacing w:after="0" w:line="240" w:lineRule="auto"/>
        <w:rPr>
          <w:rFonts w:ascii="Calibri" w:hAnsi="Calibri" w:cs="Calibri"/>
          <w:lang w:val="en-US"/>
        </w:rPr>
      </w:pPr>
      <w:r w:rsidRPr="00252367">
        <w:rPr>
          <w:rStyle w:val="Pogrubienie1"/>
          <w:rFonts w:ascii="Calibri" w:hAnsi="Calibri" w:cs="Calibri"/>
          <w:b w:val="0"/>
          <w:bCs w:val="0"/>
          <w:shd w:val="clear" w:color="auto" w:fill="FFFFFF"/>
          <w:lang w:val="en-US"/>
        </w:rPr>
        <w:t>Połączenie Ethernet, X21 lub Fractional E1</w:t>
      </w:r>
    </w:p>
    <w:p w:rsidR="00252367" w:rsidRDefault="00252367" w:rsidP="00252367">
      <w:pPr>
        <w:widowControl w:val="0"/>
        <w:numPr>
          <w:ilvl w:val="0"/>
          <w:numId w:val="14"/>
        </w:numPr>
        <w:suppressAutoHyphens/>
        <w:spacing w:after="0" w:line="240" w:lineRule="auto"/>
        <w:rPr>
          <w:rFonts w:ascii="Calibri" w:hAnsi="Calibri" w:cs="Calibri"/>
        </w:rPr>
      </w:pPr>
      <w:r>
        <w:rPr>
          <w:rFonts w:ascii="Calibri" w:hAnsi="Calibri" w:cs="Calibri"/>
        </w:rPr>
        <w:t>Pobór mocy (w pełni wyposażona w 4 przemienniki radiowe) 1300 W</w:t>
      </w:r>
    </w:p>
    <w:p w:rsidR="00252367" w:rsidRDefault="00252367" w:rsidP="00252367">
      <w:pPr>
        <w:widowControl w:val="0"/>
        <w:numPr>
          <w:ilvl w:val="0"/>
          <w:numId w:val="14"/>
        </w:numPr>
        <w:suppressAutoHyphens/>
        <w:spacing w:after="0" w:line="240" w:lineRule="auto"/>
      </w:pPr>
      <w:r>
        <w:rPr>
          <w:rFonts w:ascii="Calibri" w:hAnsi="Calibri" w:cs="Calibri"/>
        </w:rPr>
        <w:t>Temperatura otoczenia podczas pracy od -30 do 60°C</w:t>
      </w:r>
    </w:p>
    <w:p w:rsidR="00616592" w:rsidRPr="00E77F56" w:rsidRDefault="00616592" w:rsidP="00E77F56">
      <w:pPr>
        <w:pStyle w:val="DocumentMap"/>
        <w:rPr>
          <w:rFonts w:asciiTheme="minorHAnsi" w:hAnsiTheme="minorHAnsi"/>
          <w:b/>
          <w:color w:val="FF0000"/>
          <w:sz w:val="22"/>
          <w:szCs w:val="22"/>
          <w:u w:val="single"/>
        </w:rPr>
      </w:pPr>
    </w:p>
    <w:p w:rsidR="00E77F56" w:rsidRPr="00616592" w:rsidRDefault="00E77F56" w:rsidP="00E77F56">
      <w:pPr>
        <w:pStyle w:val="Indeks"/>
        <w:rPr>
          <w:rStyle w:val="apple-converted-space"/>
          <w:rFonts w:asciiTheme="minorHAnsi" w:hAnsiTheme="minorHAnsi"/>
          <w:b/>
        </w:rPr>
      </w:pPr>
      <w:r w:rsidRPr="00616592">
        <w:rPr>
          <w:rStyle w:val="apple-converted-space"/>
          <w:rFonts w:asciiTheme="minorHAnsi" w:hAnsiTheme="minorHAnsi"/>
          <w:b/>
        </w:rPr>
        <w:t>2. Forma przedmiotowych środków dowodowych:</w:t>
      </w:r>
    </w:p>
    <w:p w:rsidR="00E77F56" w:rsidRPr="00E77F56" w:rsidRDefault="00E77F56" w:rsidP="00E77F56">
      <w:pPr>
        <w:pStyle w:val="Indeks"/>
        <w:jc w:val="both"/>
        <w:rPr>
          <w:rFonts w:asciiTheme="minorHAnsi" w:hAnsiTheme="minorHAnsi"/>
        </w:rPr>
      </w:pPr>
      <w:r w:rsidRPr="00E77F56">
        <w:rPr>
          <w:rFonts w:asciiTheme="minorHAnsi" w:hAnsiTheme="minorHAnsi"/>
        </w:rPr>
        <w:t>2.1. Przedmiotowe środki dowodowe sporządzone w języku obcym przekazuje się wraz z tłumaczeniem na język polski.</w:t>
      </w:r>
      <w:r w:rsidRPr="00E77F56">
        <w:rPr>
          <w:rStyle w:val="apple-converted-space"/>
          <w:rFonts w:asciiTheme="minorHAnsi" w:hAnsiTheme="minorHAnsi"/>
        </w:rPr>
        <w:t xml:space="preserve"> W przypadku dołączenia kart katalogowych sprzętu opracowanych przez producenta urządzenia, jeżeli nie udostępnia on dokumentacji w języku polskim, dopuszczalna jest wersja anglojęzyczna. </w:t>
      </w:r>
    </w:p>
    <w:p w:rsidR="00E77F56" w:rsidRPr="00E77F56" w:rsidRDefault="00E77F56" w:rsidP="00E77F56">
      <w:pPr>
        <w:pStyle w:val="Akapitzlist"/>
        <w:spacing w:line="240" w:lineRule="auto"/>
        <w:ind w:left="0"/>
        <w:jc w:val="both"/>
      </w:pPr>
      <w:r w:rsidRPr="00E77F56">
        <w:rPr>
          <w:color w:val="000000"/>
        </w:rPr>
        <w:lastRenderedPageBreak/>
        <w:t>2.2. W przypadku gdy przedmiotowe środki dowodowe zostały wystawione przez upoważnione podmioty inne niż Wykonawca, Wykonawca wspólnie ubiegający się o udzielenie zamówienia lub podwykonawca jako dokument elektroniczny, przekazuje się ten dokument.</w:t>
      </w:r>
    </w:p>
    <w:p w:rsidR="00E77F56" w:rsidRPr="00E77F56" w:rsidRDefault="00E77F56" w:rsidP="00E77F56">
      <w:pPr>
        <w:pStyle w:val="Akapitzlist"/>
        <w:spacing w:line="240" w:lineRule="auto"/>
        <w:ind w:left="0"/>
        <w:jc w:val="both"/>
      </w:pPr>
      <w:r w:rsidRPr="00E77F56">
        <w:rPr>
          <w:color w:val="000000"/>
        </w:rPr>
        <w:t>2.3.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rsidR="00616592" w:rsidRDefault="00E77F56" w:rsidP="00616592">
      <w:pPr>
        <w:pStyle w:val="Akapitzlist"/>
        <w:spacing w:line="240" w:lineRule="auto"/>
        <w:ind w:left="0"/>
        <w:jc w:val="both"/>
        <w:rPr>
          <w:color w:val="000000"/>
        </w:rPr>
      </w:pPr>
      <w:r w:rsidRPr="00E77F56">
        <w:rPr>
          <w:color w:val="000000"/>
        </w:rPr>
        <w:t>2.4. Przedmiotowe środki dowodowe niewystawione przez upoważnione podmioty przekazuje się w postaci elektronicznej i opatruje się kwalifikowanym podpisem elektronicznym.</w:t>
      </w:r>
    </w:p>
    <w:p w:rsidR="00616592" w:rsidRDefault="00E77F56" w:rsidP="00616592">
      <w:pPr>
        <w:pStyle w:val="Akapitzlist"/>
        <w:spacing w:line="240" w:lineRule="auto"/>
        <w:ind w:left="0"/>
        <w:jc w:val="both"/>
      </w:pPr>
      <w:r w:rsidRPr="00E77F56">
        <w:t>2.5.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rsidR="00616592" w:rsidRDefault="00E77F56" w:rsidP="00616592">
      <w:pPr>
        <w:pStyle w:val="Akapitzlist"/>
        <w:spacing w:line="240" w:lineRule="auto"/>
        <w:ind w:left="0"/>
        <w:jc w:val="both"/>
      </w:pPr>
      <w:r w:rsidRPr="00E77F56">
        <w:t>ubiegający się o udzielenie zamówienia lub notariusz.</w:t>
      </w:r>
    </w:p>
    <w:p w:rsidR="00616592" w:rsidRPr="00616592" w:rsidRDefault="00E77F56" w:rsidP="00616592">
      <w:pPr>
        <w:pStyle w:val="Akapitzlist"/>
        <w:spacing w:line="240" w:lineRule="auto"/>
        <w:ind w:left="0"/>
        <w:jc w:val="both"/>
        <w:rPr>
          <w:b/>
        </w:rPr>
      </w:pPr>
      <w:r w:rsidRPr="00616592">
        <w:rPr>
          <w:b/>
        </w:rPr>
        <w:t>3. Uzupełnianie i wyjaśnianie treści przedmiotowych środków dowodowych:</w:t>
      </w:r>
    </w:p>
    <w:p w:rsidR="00616592" w:rsidRDefault="00E77F56" w:rsidP="00616592">
      <w:pPr>
        <w:pStyle w:val="Akapitzlist"/>
        <w:spacing w:line="240" w:lineRule="auto"/>
        <w:ind w:left="0"/>
        <w:jc w:val="both"/>
      </w:pPr>
      <w:r w:rsidRPr="00616592">
        <w:t xml:space="preserve">3.1. Jeżeli Wykonawca nie złoży przedmiotowych środków dowodowych lub złożone przedmiotowe środki dowodowe będą niekompletne, Zamawiający wezwie do ich złożenia lub uzupełnienia                              w wyznaczonym terminie. </w:t>
      </w:r>
    </w:p>
    <w:p w:rsidR="000A316D" w:rsidRPr="00252367" w:rsidRDefault="00E77F56" w:rsidP="00252367">
      <w:pPr>
        <w:pStyle w:val="Akapitzlist"/>
        <w:spacing w:line="240" w:lineRule="auto"/>
        <w:ind w:left="0"/>
        <w:jc w:val="both"/>
      </w:pPr>
      <w:r w:rsidRPr="00616592">
        <w:t>3.2. Postanowień pkt 3.1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WYKONANIA ZAMÓWIENIA </w:t>
      </w:r>
    </w:p>
    <w:p w:rsidR="00925C77" w:rsidRDefault="001064FC" w:rsidP="00B14413">
      <w:pPr>
        <w:pStyle w:val="Bezodstpw"/>
        <w:jc w:val="both"/>
        <w:rPr>
          <w:rFonts w:cs="Times New Roman"/>
          <w:color w:val="000000"/>
        </w:rPr>
      </w:pPr>
      <w:r>
        <w:rPr>
          <w:rFonts w:cs="Times New Roman"/>
          <w:color w:val="000000"/>
        </w:rPr>
        <w:t>Wykonawca będzie zobowiązany do wykonania przedmiotu zamówien</w:t>
      </w:r>
      <w:r w:rsidR="00925C77">
        <w:rPr>
          <w:rFonts w:cs="Times New Roman"/>
          <w:color w:val="000000"/>
        </w:rPr>
        <w:t>ia w nieprzekraczalnym terminie:</w:t>
      </w:r>
    </w:p>
    <w:p w:rsidR="00B14413" w:rsidRDefault="00925C77" w:rsidP="00B14413">
      <w:pPr>
        <w:pStyle w:val="Bezodstpw"/>
        <w:jc w:val="both"/>
        <w:rPr>
          <w:rFonts w:cs="Times New Roman"/>
          <w:b/>
          <w:color w:val="000000"/>
          <w:u w:val="single"/>
        </w:rPr>
      </w:pPr>
      <w:r>
        <w:rPr>
          <w:rFonts w:cs="Times New Roman"/>
          <w:b/>
          <w:color w:val="000000"/>
          <w:u w:val="single"/>
        </w:rPr>
        <w:t xml:space="preserve">- część 1 postępowania: </w:t>
      </w:r>
      <w:r w:rsidR="001064FC" w:rsidRPr="001E6091">
        <w:rPr>
          <w:rFonts w:cs="Times New Roman"/>
          <w:b/>
          <w:color w:val="000000"/>
          <w:u w:val="single"/>
        </w:rPr>
        <w:t xml:space="preserve">do </w:t>
      </w:r>
      <w:r>
        <w:rPr>
          <w:rFonts w:cs="Times New Roman"/>
          <w:b/>
          <w:color w:val="000000"/>
          <w:u w:val="single"/>
        </w:rPr>
        <w:t>15</w:t>
      </w:r>
      <w:r w:rsidR="001064FC" w:rsidRPr="001E6091">
        <w:rPr>
          <w:rFonts w:cs="Times New Roman"/>
          <w:b/>
          <w:color w:val="000000"/>
          <w:u w:val="single"/>
        </w:rPr>
        <w:t xml:space="preserve"> </w:t>
      </w:r>
      <w:r>
        <w:rPr>
          <w:rFonts w:cs="Times New Roman"/>
          <w:b/>
          <w:color w:val="000000"/>
          <w:u w:val="single"/>
        </w:rPr>
        <w:t>tygodni od dnia zawarcia umowy,</w:t>
      </w:r>
    </w:p>
    <w:p w:rsidR="00925C77" w:rsidRDefault="00925C77" w:rsidP="00925C77">
      <w:pPr>
        <w:pStyle w:val="Bezodstpw"/>
        <w:jc w:val="both"/>
        <w:rPr>
          <w:rFonts w:cs="Times New Roman"/>
          <w:b/>
          <w:color w:val="000000"/>
          <w:u w:val="single"/>
        </w:rPr>
      </w:pPr>
      <w:r>
        <w:rPr>
          <w:rFonts w:cs="Times New Roman"/>
          <w:b/>
          <w:color w:val="000000"/>
          <w:u w:val="single"/>
        </w:rPr>
        <w:t xml:space="preserve">- część 2 postępowania: </w:t>
      </w:r>
      <w:r w:rsidRPr="001E6091">
        <w:rPr>
          <w:rFonts w:cs="Times New Roman"/>
          <w:b/>
          <w:color w:val="000000"/>
          <w:u w:val="single"/>
        </w:rPr>
        <w:t xml:space="preserve">do </w:t>
      </w:r>
      <w:r>
        <w:rPr>
          <w:rFonts w:cs="Times New Roman"/>
          <w:b/>
          <w:color w:val="000000"/>
          <w:u w:val="single"/>
        </w:rPr>
        <w:t>2</w:t>
      </w:r>
      <w:r w:rsidRPr="001E6091">
        <w:rPr>
          <w:rFonts w:cs="Times New Roman"/>
          <w:b/>
          <w:color w:val="000000"/>
          <w:u w:val="single"/>
        </w:rPr>
        <w:t xml:space="preserve"> </w:t>
      </w:r>
      <w:r>
        <w:rPr>
          <w:rFonts w:cs="Times New Roman"/>
          <w:b/>
          <w:color w:val="000000"/>
          <w:u w:val="single"/>
        </w:rPr>
        <w:t>tygodni od dnia zawarcia umowy</w:t>
      </w:r>
    </w:p>
    <w:p w:rsidR="004D2A93" w:rsidRPr="00B14413" w:rsidRDefault="004D2A93" w:rsidP="00B14413">
      <w:pPr>
        <w:pStyle w:val="Bezodstpw"/>
        <w:jc w:val="both"/>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lastRenderedPageBreak/>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6"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FireFox w najnowszej dostępnej wersji, z włączoną obsługą języka Javascript, akceptująca pliki typu „cookies” oraz łącze internetowe. W celu założenia Konta Użytkownika na </w:t>
      </w:r>
      <w:hyperlink r:id="rId17" w:history="1">
        <w:r w:rsidR="003B206E" w:rsidRPr="003B206E">
          <w:rPr>
            <w:rFonts w:cs="Calibri"/>
            <w:u w:val="single"/>
          </w:rPr>
          <w:t>platformazakupowa.pl</w:t>
        </w:r>
      </w:hyperlink>
      <w:r w:rsidR="003B206E" w:rsidRPr="003B206E">
        <w:rPr>
          <w:rFonts w:cs="Calibri"/>
        </w:rPr>
        <w:t>, konieczne jest posiadanie przez Użytkownika aktywnego konta poczty elektronicznej (e-mail) o przepustowości co najmniej 256 kbit/s.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stały dostęp do sieci Internet o gwarantowanej przepustowości nie mniejszej niż 512 kb/s,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zainstalowany program Adobe Acrobat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(hh:mm:ss)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d. Przejdź na swoją skrzynkę mailową, powinieneś otrzymać maila o tytule: Potwierdź swoje konto na platformie zakupowej Open Nexus.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h. Reset hasła - Jeśli nie pamiętasz danych do logowania, skorzystaj z przycisku Nie pamiętasz hasła? Korzystając z tej opcji, otrzymasz wiadomość mailową o tytule: Open Nexus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lastRenderedPageBreak/>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w:t>
      </w:r>
      <w:r w:rsidRPr="003B206E">
        <w:rPr>
          <w:rFonts w:cs="Tahoma"/>
        </w:rPr>
        <w:lastRenderedPageBreak/>
        <w:t xml:space="preserve">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r w:rsidR="003C4CD6">
        <w:rPr>
          <w:color w:val="000000" w:themeColor="text1"/>
        </w:rPr>
        <w:t xml:space="preserve">t.j.: </w:t>
      </w:r>
      <w:r w:rsidRPr="003B206E">
        <w:rPr>
          <w:color w:val="000000" w:themeColor="text1"/>
        </w:rPr>
        <w:t>Dz.U. z 202</w:t>
      </w:r>
      <w:r w:rsidR="003C4CD6">
        <w:rPr>
          <w:color w:val="000000" w:themeColor="text1"/>
        </w:rPr>
        <w:t>1</w:t>
      </w:r>
      <w:r w:rsidRPr="003B206E">
        <w:rPr>
          <w:color w:val="000000" w:themeColor="text1"/>
        </w:rPr>
        <w:t xml:space="preserve"> r. poz. </w:t>
      </w:r>
      <w:r w:rsidR="003C4CD6">
        <w:rPr>
          <w:color w:val="000000" w:themeColor="text1"/>
        </w:rPr>
        <w:t>1797</w:t>
      </w:r>
      <w:r w:rsidR="004D2A93">
        <w:rPr>
          <w:color w:val="000000" w:themeColor="text1"/>
        </w:rPr>
        <w:t xml:space="preserve"> – ze zmianami</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5. W przypadku wykorzystania formatu podpisu XAdES zewnętrzny. Zamawiający wymaga dołączenia odpowiedniej ilości plików tj. podpisywanych plików z danymi oraz plików podpisu w formacie XAdES.</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 xml:space="preserve">w formatach: .pdf, .xls, .xlsx, .doc, .docx, .txt, .rtf, .xps, .odt, .ods, .odp, .ppt, .pptx, .csv, .jpg, .jpeg, .tif, .tiff, .geotiff. .png, .svg, .wav, .mp3, .avi, .mpg, .mpeg, .mp4, .m4a, .mpeg4, .ogg, .ogv, .zip, .tar, .gz, .gzip, .7z, .html, .xhtml, .css, .xml, .xsd, .gml, ,rng, .xsl, .xslt.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3. Zamawiający zwraca uwagę na ograniczenia wielkości plików podpisywanych profilem zaufanym, który wynosi max 10MB, oraz na ograniczenie wielkości plików podpisywanych w aplikacji eDoApp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b. Pliki w innych formatach niż PDF zaleca się opatrzyć zewnętrznym podpisem XAdES.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551E5C"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w:t>
      </w:r>
      <w:r w:rsidR="004A0183" w:rsidRPr="00551E5C">
        <w:rPr>
          <w:b/>
          <w:color w:val="000000" w:themeColor="text1"/>
        </w:rPr>
        <w:t>Z</w:t>
      </w:r>
      <w:r w:rsidRPr="00551E5C">
        <w:rPr>
          <w:b/>
          <w:color w:val="000000" w:themeColor="text1"/>
        </w:rPr>
        <w:t>-2380-</w:t>
      </w:r>
      <w:r w:rsidR="00BA1C89">
        <w:rPr>
          <w:b/>
          <w:color w:val="000000" w:themeColor="text1"/>
        </w:rPr>
        <w:t>050-072-050/2024</w:t>
      </w:r>
      <w:r w:rsidRPr="00551E5C">
        <w:rPr>
          <w:b/>
          <w:color w:val="000000" w:themeColor="text1"/>
        </w:rPr>
        <w:t>/MA.</w:t>
      </w:r>
    </w:p>
    <w:p w:rsidR="00701C1E" w:rsidRPr="00DD2A9E" w:rsidRDefault="00701C1E" w:rsidP="00701C1E">
      <w:pPr>
        <w:pStyle w:val="Bezodstpw"/>
        <w:jc w:val="both"/>
        <w:rPr>
          <w:b/>
        </w:rPr>
      </w:pPr>
      <w:r w:rsidRPr="00DD2A9E">
        <w:rPr>
          <w:b/>
        </w:rPr>
        <w:lastRenderedPageBreak/>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BA1C89">
        <w:t xml:space="preserve">Teleinformatyki </w:t>
      </w:r>
      <w:r w:rsidR="004D1734">
        <w:t>– Pan</w:t>
      </w:r>
      <w:r w:rsidR="00AB54D4">
        <w:t xml:space="preserve"> </w:t>
      </w:r>
      <w:r w:rsidR="00BA1C89">
        <w:t>Wojciech Tylecki</w:t>
      </w:r>
      <w:r w:rsidRPr="00701C1E">
        <w:t xml:space="preserve">, tel. 47 871 </w:t>
      </w:r>
      <w:r w:rsidR="00BA1C89">
        <w:t>20 40</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30"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Pzp.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1"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2"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w:t>
      </w:r>
      <w:r w:rsidRPr="00BB7155">
        <w:rPr>
          <w:rFonts w:ascii="Calibri" w:hAnsi="Calibri" w:cs="Tahoma"/>
        </w:rPr>
        <w:lastRenderedPageBreak/>
        <w:t xml:space="preserve">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E25589" w:rsidRDefault="00E25589" w:rsidP="00E25589">
      <w:pPr>
        <w:pStyle w:val="Bezodstpw"/>
        <w:jc w:val="both"/>
        <w:rPr>
          <w:rFonts w:ascii="Calibri" w:hAnsi="Calibri" w:cs="Tahoma"/>
          <w:i/>
        </w:rPr>
      </w:pPr>
      <w:r w:rsidRPr="00BB7155">
        <w:rPr>
          <w:rFonts w:ascii="Calibri" w:hAnsi="Calibri" w:cs="Tahoma"/>
        </w:rPr>
        <w:t xml:space="preserve">8. W zakresie nieuregulowanym ustawą Pzp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Pr>
          <w:rFonts w:ascii="Calibri" w:hAnsi="Calibri" w:cs="Tahoma"/>
          <w:i/>
        </w:rPr>
        <w:t>ć zamawiający od wykonawcy (Dz.</w:t>
      </w:r>
      <w:r w:rsidRPr="00BB7155">
        <w:rPr>
          <w:rFonts w:ascii="Calibri" w:hAnsi="Calibri" w:cs="Tahoma"/>
          <w:i/>
        </w:rPr>
        <w:t xml:space="preserve">U. </w:t>
      </w:r>
      <w:r>
        <w:rPr>
          <w:rFonts w:ascii="Calibri" w:hAnsi="Calibri" w:cs="Tahoma"/>
          <w:i/>
        </w:rPr>
        <w:t>2020 p</w:t>
      </w:r>
      <w:r w:rsidRPr="00BB7155">
        <w:rPr>
          <w:rFonts w:ascii="Calibri" w:hAnsi="Calibri" w:cs="Tahoma"/>
          <w:i/>
        </w:rPr>
        <w:t>oz. 24</w:t>
      </w:r>
      <w:r>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Pr>
          <w:rFonts w:ascii="Calibri" w:hAnsi="Calibri" w:cs="Tahoma"/>
          <w:i/>
        </w:rPr>
        <w:t xml:space="preserve"> publicznego lub konkursie (Dz.</w:t>
      </w:r>
      <w:r w:rsidRPr="00BB7155">
        <w:rPr>
          <w:rFonts w:ascii="Calibri" w:hAnsi="Calibri" w:cs="Tahoma"/>
          <w:i/>
        </w:rPr>
        <w:t xml:space="preserve">U. </w:t>
      </w:r>
      <w:r>
        <w:rPr>
          <w:rFonts w:ascii="Calibri" w:hAnsi="Calibri" w:cs="Tahoma"/>
          <w:i/>
        </w:rPr>
        <w:t>2020 p</w:t>
      </w:r>
      <w:r w:rsidRPr="00BB7155">
        <w:rPr>
          <w:rFonts w:ascii="Calibri" w:hAnsi="Calibri" w:cs="Tahoma"/>
          <w:i/>
        </w:rPr>
        <w:t>oz. 24</w:t>
      </w:r>
      <w:r>
        <w:rPr>
          <w:rFonts w:ascii="Calibri" w:hAnsi="Calibri" w:cs="Tahoma"/>
          <w:i/>
        </w:rPr>
        <w:t>52</w:t>
      </w:r>
      <w:r w:rsidRPr="00BB7155">
        <w:rPr>
          <w:rFonts w:ascii="Calibri" w:hAnsi="Calibri" w:cs="Tahoma"/>
          <w:i/>
        </w:rPr>
        <w:t>).</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B80FB0">
        <w:rPr>
          <w:b/>
        </w:rPr>
        <w:t>04.07.2024</w:t>
      </w:r>
      <w:r w:rsidR="008C1C4E" w:rsidRPr="008C1C4E">
        <w:rPr>
          <w:b/>
        </w:rPr>
        <w:t xml:space="preserve">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Default="00E25589" w:rsidP="00E25589">
      <w:pPr>
        <w:pStyle w:val="Bezodstpw"/>
        <w:jc w:val="both"/>
      </w:pPr>
      <w:r>
        <w:t>3. Przedłużenie terminu związania ofertą, o którym mowa w pkt 1 wymaga złożenia przez Wykonawcę pisemnego oświadczenia o wyrażeniu zgody na przedłużenie terminu związania ofertą.</w:t>
      </w:r>
    </w:p>
    <w:p w:rsidR="00E25589" w:rsidRDefault="00E25589"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0A1DBF" w:rsidRPr="000A1DBF" w:rsidRDefault="000A1DBF" w:rsidP="00EB74B6">
      <w:pPr>
        <w:pStyle w:val="Bezodstpw"/>
        <w:numPr>
          <w:ilvl w:val="6"/>
          <w:numId w:val="10"/>
        </w:numPr>
        <w:tabs>
          <w:tab w:val="left" w:pos="284"/>
        </w:tabs>
        <w:suppressAutoHyphens/>
        <w:overflowPunct w:val="0"/>
        <w:ind w:left="0" w:firstLine="0"/>
        <w:jc w:val="both"/>
        <w:rPr>
          <w:b/>
          <w:bCs/>
        </w:rPr>
      </w:pPr>
      <w:r w:rsidRPr="000A1DBF">
        <w:rPr>
          <w:bCs/>
        </w:rPr>
        <w:t xml:space="preserve">Wykonawca zobowiązany jest do zabezpieczenia swojej oferty wadium </w:t>
      </w:r>
    </w:p>
    <w:p w:rsidR="000A1DBF" w:rsidRPr="000A1DBF" w:rsidRDefault="000A1DBF" w:rsidP="00EB74B6">
      <w:pPr>
        <w:pStyle w:val="Bezodstpw"/>
        <w:numPr>
          <w:ilvl w:val="1"/>
          <w:numId w:val="11"/>
        </w:numPr>
        <w:suppressAutoHyphens/>
        <w:overflowPunct w:val="0"/>
        <w:jc w:val="both"/>
        <w:rPr>
          <w:b/>
          <w:bCs/>
        </w:rPr>
      </w:pPr>
      <w:r w:rsidRPr="000A1DBF">
        <w:rPr>
          <w:b/>
          <w:bCs/>
        </w:rPr>
        <w:t xml:space="preserve">Wysokość wadium wynosi:   </w:t>
      </w:r>
    </w:p>
    <w:p w:rsidR="000A1DBF" w:rsidRPr="000A1DBF" w:rsidRDefault="000A1DBF" w:rsidP="000A1DBF">
      <w:pPr>
        <w:pStyle w:val="Bezodstpw"/>
        <w:jc w:val="both"/>
        <w:rPr>
          <w:b/>
          <w:bCs/>
        </w:rPr>
      </w:pPr>
      <w:r w:rsidRPr="000A1DBF">
        <w:rPr>
          <w:b/>
          <w:bCs/>
        </w:rPr>
        <w:t xml:space="preserve">- dla części 1 postępowania: </w:t>
      </w:r>
      <w:r>
        <w:rPr>
          <w:b/>
          <w:bCs/>
        </w:rPr>
        <w:t>4500</w:t>
      </w:r>
      <w:r w:rsidRPr="000A1DBF">
        <w:rPr>
          <w:b/>
          <w:bCs/>
        </w:rPr>
        <w:t xml:space="preserve">,00 zł </w:t>
      </w:r>
    </w:p>
    <w:p w:rsidR="000A1DBF" w:rsidRPr="000A1DBF" w:rsidRDefault="000A1DBF" w:rsidP="000A1DBF">
      <w:pPr>
        <w:pStyle w:val="Bezodstpw"/>
        <w:jc w:val="both"/>
        <w:rPr>
          <w:b/>
          <w:bCs/>
        </w:rPr>
      </w:pPr>
      <w:r w:rsidRPr="000A1DBF">
        <w:rPr>
          <w:bCs/>
        </w:rPr>
        <w:t>–</w:t>
      </w:r>
      <w:r w:rsidRPr="000A1DBF">
        <w:rPr>
          <w:b/>
          <w:bCs/>
        </w:rPr>
        <w:t xml:space="preserve"> dla części 2 postępowania: </w:t>
      </w:r>
      <w:r>
        <w:rPr>
          <w:b/>
          <w:bCs/>
        </w:rPr>
        <w:t>1100</w:t>
      </w:r>
      <w:r w:rsidRPr="000A1DBF">
        <w:rPr>
          <w:b/>
          <w:bCs/>
        </w:rPr>
        <w:t xml:space="preserve">,00 zł </w:t>
      </w:r>
    </w:p>
    <w:p w:rsidR="000A1DBF" w:rsidRPr="000A1DBF" w:rsidRDefault="000A1DBF" w:rsidP="000A1DBF">
      <w:pPr>
        <w:pStyle w:val="Bezodstpw"/>
        <w:jc w:val="both"/>
        <w:rPr>
          <w:b/>
          <w:bCs/>
        </w:rPr>
      </w:pPr>
      <w:r w:rsidRPr="000A1DBF">
        <w:rPr>
          <w:b/>
          <w:bCs/>
        </w:rPr>
        <w:lastRenderedPageBreak/>
        <w:t xml:space="preserve">Wysokość wadium dla Wykonawców składający ofertę we wszystkich częściach postepowania wynosi: </w:t>
      </w:r>
      <w:r>
        <w:rPr>
          <w:b/>
          <w:bCs/>
        </w:rPr>
        <w:t>5600,00</w:t>
      </w:r>
      <w:r w:rsidRPr="000A1DBF">
        <w:rPr>
          <w:b/>
          <w:bCs/>
        </w:rPr>
        <w:t xml:space="preserve"> zł </w:t>
      </w:r>
    </w:p>
    <w:p w:rsidR="000A1DBF" w:rsidRPr="000A1DBF" w:rsidRDefault="000A1DBF" w:rsidP="000A1DBF">
      <w:pPr>
        <w:pStyle w:val="Bezodstpw"/>
        <w:jc w:val="both"/>
        <w:rPr>
          <w:bCs/>
        </w:rPr>
      </w:pPr>
      <w:r w:rsidRPr="000A1DBF">
        <w:rPr>
          <w:bCs/>
        </w:rPr>
        <w:t xml:space="preserve">1.3. </w:t>
      </w:r>
      <w:r w:rsidRPr="000A1DBF">
        <w:t>Wadium wnosi się przed upływem terminu składania ofert i utrzymuje nieprzerwanie do dnia upływu terminu związania ofertą, z wyjątkiem przypadków, o których mowa w art. 98 ust. 1 pkt 2 i 3 ustawy PZP.</w:t>
      </w:r>
    </w:p>
    <w:p w:rsidR="000A1DBF" w:rsidRPr="000A1DBF" w:rsidRDefault="000A1DBF" w:rsidP="000A1DBF">
      <w:pPr>
        <w:pStyle w:val="Bezodstpw"/>
        <w:jc w:val="both"/>
      </w:pPr>
      <w:r w:rsidRPr="000A1DBF">
        <w:t>1.4. Przedłużenie terminu związania ofertą jest dopuszczalne tylko z jednoczesnym przedłużeniem okresu ważności wadium albo, jeżeli nie jest to możliwe, z wniesieniem nowego wadium na przedłużony okres związania ofertą.</w:t>
      </w:r>
    </w:p>
    <w:p w:rsidR="000A1DBF" w:rsidRPr="000A1DBF" w:rsidRDefault="000A1DBF" w:rsidP="000A1DBF">
      <w:pPr>
        <w:pStyle w:val="Bezodstpw"/>
        <w:jc w:val="both"/>
      </w:pPr>
      <w:r w:rsidRPr="000A1DBF">
        <w:t>1.5. Wadium może być wnoszone, według wyboru Wykonawcy, w jednej lub kilku następujących formach:</w:t>
      </w:r>
    </w:p>
    <w:p w:rsidR="000A1DBF" w:rsidRPr="000A1DBF" w:rsidRDefault="000A1DBF" w:rsidP="000A1DBF">
      <w:pPr>
        <w:pStyle w:val="Bezodstpw"/>
        <w:jc w:val="both"/>
      </w:pPr>
      <w:r w:rsidRPr="000A1DBF">
        <w:t xml:space="preserve">- pieniądzu; </w:t>
      </w:r>
    </w:p>
    <w:p w:rsidR="000A1DBF" w:rsidRPr="000A1DBF" w:rsidRDefault="000A1DBF" w:rsidP="000A1DBF">
      <w:pPr>
        <w:pStyle w:val="Bezodstpw"/>
        <w:jc w:val="both"/>
      </w:pPr>
      <w:r w:rsidRPr="000A1DBF">
        <w:t>- gwarancjach bankowych;</w:t>
      </w:r>
    </w:p>
    <w:p w:rsidR="000A1DBF" w:rsidRPr="000A1DBF" w:rsidRDefault="000A1DBF" w:rsidP="000A1DBF">
      <w:pPr>
        <w:pStyle w:val="Bezodstpw"/>
        <w:jc w:val="both"/>
      </w:pPr>
      <w:r w:rsidRPr="000A1DBF">
        <w:t>- gwarancjach ubezpieczeniowych;</w:t>
      </w:r>
    </w:p>
    <w:p w:rsidR="000A1DBF" w:rsidRPr="000A1DBF" w:rsidRDefault="000A1DBF" w:rsidP="000A1DBF">
      <w:pPr>
        <w:pStyle w:val="Bezodstpw"/>
        <w:jc w:val="both"/>
      </w:pPr>
      <w:r w:rsidRPr="000A1DBF">
        <w:t>- poręczeniach udzielanych przez podmioty, o których mowa w art. 6b ust. 5 pkt 2 ustawy z dnia 9 listopada 2000 r. o utworzeniu Polskiej Agencji Rozwoju Przedsiębiorczości (Dz. U. z 2020 r. poz. 299).</w:t>
      </w:r>
    </w:p>
    <w:p w:rsidR="000A1DBF" w:rsidRPr="000A1DBF" w:rsidRDefault="000A1DBF" w:rsidP="000A1DBF">
      <w:pPr>
        <w:pStyle w:val="Bezodstpw"/>
        <w:jc w:val="both"/>
      </w:pPr>
      <w:r w:rsidRPr="000A1DBF">
        <w:t xml:space="preserve">1.6. Wadium w formie pieniądza należy wnieść przelewem na konto w NBP O/Okręgowy Wrocław, numer: 34 1010 1674 0000 9713 9120 1000, z dopiskiem na przelewie: </w:t>
      </w:r>
      <w:r w:rsidRPr="000A1DBF">
        <w:rPr>
          <w:b/>
        </w:rPr>
        <w:t>„Wadium w postępowaniu PUZ-2380-</w:t>
      </w:r>
      <w:r>
        <w:rPr>
          <w:b/>
        </w:rPr>
        <w:t>050-072-050</w:t>
      </w:r>
      <w:r w:rsidRPr="000A1DBF">
        <w:rPr>
          <w:b/>
        </w:rPr>
        <w:t xml:space="preserve">/2024/MA  – </w:t>
      </w:r>
      <w:r>
        <w:rPr>
          <w:rFonts w:eastAsia="Times New Roman" w:cstheme="minorHAnsi"/>
          <w:b/>
          <w:color w:val="00000A"/>
        </w:rPr>
        <w:t xml:space="preserve">dostawa </w:t>
      </w:r>
      <w:r>
        <w:rPr>
          <w:rFonts w:eastAsia="Calibri" w:cstheme="minorHAnsi"/>
          <w:b/>
          <w:lang w:eastAsia="en-US"/>
        </w:rPr>
        <w:t>sprzętu łączności bezprzewodowej standardzie ETSI TETRA TEA2, DMR dla nowo powstających jednostek garnizonu dolnośląskiego</w:t>
      </w:r>
      <w:r w:rsidRPr="000A1DBF">
        <w:rPr>
          <w:rFonts w:cstheme="minorHAnsi"/>
          <w:b/>
        </w:rPr>
        <w:t>”</w:t>
      </w:r>
      <w:r w:rsidRPr="000A1DBF">
        <w:t xml:space="preserve"> </w:t>
      </w:r>
    </w:p>
    <w:p w:rsidR="000A1DBF" w:rsidRPr="000A1DBF" w:rsidRDefault="000A1DBF" w:rsidP="000A1DBF">
      <w:pPr>
        <w:pStyle w:val="Bezodstpw"/>
        <w:jc w:val="both"/>
      </w:pPr>
      <w:r w:rsidRPr="000A1DBF">
        <w:t>UWAGA: Za termin wniesienia wadium w formie pieniężnej zostanie przyjęty termin uznania ww. rachunku bankowego Zamawiającego.</w:t>
      </w:r>
    </w:p>
    <w:p w:rsidR="000A1DBF" w:rsidRPr="000A1DBF" w:rsidRDefault="000A1DBF" w:rsidP="000A1DBF">
      <w:pPr>
        <w:pStyle w:val="Bezodstpw"/>
        <w:jc w:val="both"/>
      </w:pPr>
      <w:r w:rsidRPr="000A1DBF">
        <w:t>1.7. Wadium wnoszone w formie poręczeń lub gwarancji musi być złożone jako oryginał gwarancji lub poręczenia w postaci elektronicznej i spełniać łącznie co najmniej poniższe wymagania:</w:t>
      </w:r>
    </w:p>
    <w:p w:rsidR="000A1DBF" w:rsidRPr="000A1DBF" w:rsidRDefault="000A1DBF" w:rsidP="000A1DBF">
      <w:pPr>
        <w:pStyle w:val="Bezodstpw"/>
        <w:jc w:val="both"/>
      </w:pPr>
      <w:r w:rsidRPr="000A1DBF">
        <w:t xml:space="preserve">- musi obejmować odpowiedzialność za wszystkie przypadki powodujące utratę wadium przez Wykonawcę określone w ustawie PZP </w:t>
      </w:r>
    </w:p>
    <w:p w:rsidR="000A1DBF" w:rsidRPr="000A1DBF" w:rsidRDefault="000A1DBF" w:rsidP="000A1DBF">
      <w:pPr>
        <w:pStyle w:val="Bezodstpw"/>
        <w:jc w:val="both"/>
      </w:pPr>
      <w:r w:rsidRPr="000A1DBF">
        <w:t>- z jej treści powinno jednoznacznie wynikać zobowiązanie gwaranta do zapłaty całej kwoty wadium;</w:t>
      </w:r>
    </w:p>
    <w:p w:rsidR="000A1DBF" w:rsidRPr="000A1DBF" w:rsidRDefault="000A1DBF" w:rsidP="000A1DBF">
      <w:pPr>
        <w:pStyle w:val="Bezodstpw"/>
        <w:jc w:val="both"/>
      </w:pPr>
      <w:r w:rsidRPr="000A1DBF">
        <w:t>powinno być nieodwołalne i bezwarunkowe oraz płatne na pierwsze żądanie;</w:t>
      </w:r>
    </w:p>
    <w:p w:rsidR="000A1DBF" w:rsidRPr="000A1DBF" w:rsidRDefault="000A1DBF" w:rsidP="000A1DBF">
      <w:pPr>
        <w:pStyle w:val="Bezodstpw"/>
        <w:jc w:val="both"/>
      </w:pPr>
      <w:r w:rsidRPr="000A1DBF">
        <w:t xml:space="preserve">- termin obowiązywania poręczenia lub gwarancji nie może być krótszy niż termin związania ofertą (z zastrzeżeniem iż pierwszym dniem związania ofertą jest dzień składania ofert); </w:t>
      </w:r>
    </w:p>
    <w:p w:rsidR="000A1DBF" w:rsidRPr="000A1DBF" w:rsidRDefault="000A1DBF" w:rsidP="000A1DBF">
      <w:pPr>
        <w:pStyle w:val="Bezodstpw"/>
        <w:jc w:val="both"/>
      </w:pPr>
      <w:r w:rsidRPr="000A1DBF">
        <w:t>- w treści poręczenia lub gwarancji powinna znaleźć się nazwa lub numer przedmiotowego postępowania;</w:t>
      </w:r>
    </w:p>
    <w:p w:rsidR="000A1DBF" w:rsidRPr="000A1DBF" w:rsidRDefault="000A1DBF" w:rsidP="000A1DBF">
      <w:pPr>
        <w:pStyle w:val="Bezodstpw"/>
        <w:jc w:val="both"/>
      </w:pPr>
      <w:r w:rsidRPr="000A1DBF">
        <w:t>- beneficjentem poręczenia lub gwarancji jest: Komenda Wojewódzka Policji we Wrocławiu</w:t>
      </w:r>
    </w:p>
    <w:p w:rsidR="000A1DBF" w:rsidRPr="000A1DBF" w:rsidRDefault="000A1DBF" w:rsidP="000A1DBF">
      <w:pPr>
        <w:pStyle w:val="Bezodstpw"/>
        <w:jc w:val="both"/>
      </w:pPr>
      <w:r w:rsidRPr="000A1DBF">
        <w:t>- 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0A1DBF" w:rsidRPr="000A1DBF" w:rsidRDefault="000A1DBF" w:rsidP="000A1DBF">
      <w:pPr>
        <w:pStyle w:val="Bezodstpw"/>
        <w:jc w:val="both"/>
      </w:pPr>
      <w:r w:rsidRPr="000A1DBF">
        <w:t>1.8. 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0A1DBF" w:rsidRPr="000A1DBF" w:rsidRDefault="000A1DBF" w:rsidP="000A1DBF">
      <w:pPr>
        <w:pStyle w:val="Bezodstpw"/>
        <w:jc w:val="both"/>
      </w:pPr>
      <w:r w:rsidRPr="000A1DBF">
        <w:t xml:space="preserve">1.9. Zamawiający zwraca wadium niezwłocznie, nie później jednak niż w terminie 7 dni od dnia wystąpienia jednej z okoliczności: </w:t>
      </w:r>
    </w:p>
    <w:p w:rsidR="000A1DBF" w:rsidRPr="000A1DBF" w:rsidRDefault="000A1DBF" w:rsidP="000A1DBF">
      <w:pPr>
        <w:pStyle w:val="Bezodstpw"/>
        <w:jc w:val="both"/>
      </w:pPr>
      <w:r w:rsidRPr="000A1DBF">
        <w:t xml:space="preserve">1) upływu terminu związania ofertą; </w:t>
      </w:r>
    </w:p>
    <w:p w:rsidR="000A1DBF" w:rsidRPr="000A1DBF" w:rsidRDefault="000A1DBF" w:rsidP="000A1DBF">
      <w:pPr>
        <w:pStyle w:val="Bezodstpw"/>
        <w:jc w:val="both"/>
      </w:pPr>
      <w:r w:rsidRPr="000A1DBF">
        <w:t xml:space="preserve">2) zawarcia umowy w sprawie zamówienia publicznego; </w:t>
      </w:r>
    </w:p>
    <w:p w:rsidR="000A1DBF" w:rsidRPr="000A1DBF" w:rsidRDefault="000A1DBF" w:rsidP="000A1DBF">
      <w:pPr>
        <w:pStyle w:val="Bezodstpw"/>
        <w:jc w:val="both"/>
      </w:pPr>
      <w:r w:rsidRPr="000A1DBF">
        <w:t xml:space="preserve">3) unieważnienia postępowania o udzielenie zamówienia, z wyjątkiem sytuacji gdy nie zostało rozstrzygnięte odwołanie na czynność unieważnienia albo nie upłynął termin do jego wniesienia. </w:t>
      </w:r>
    </w:p>
    <w:p w:rsidR="000A1DBF" w:rsidRPr="000A1DBF" w:rsidRDefault="000A1DBF" w:rsidP="000A1DBF">
      <w:pPr>
        <w:pStyle w:val="Bezodstpw"/>
        <w:jc w:val="both"/>
      </w:pPr>
      <w:r w:rsidRPr="000A1DBF">
        <w:t xml:space="preserve">1.10. Zamawiający, niezwłocznie, nie później jednak niż w terminie 7 dni </w:t>
      </w:r>
      <w:r w:rsidRPr="000A1DBF">
        <w:rPr>
          <w:u w:val="single"/>
        </w:rPr>
        <w:t>od dnia złożenia wniosku</w:t>
      </w:r>
      <w:r w:rsidRPr="000A1DBF">
        <w:t xml:space="preserve"> zwraca wadium wykonawcy: </w:t>
      </w:r>
    </w:p>
    <w:p w:rsidR="000A1DBF" w:rsidRPr="000A1DBF" w:rsidRDefault="000A1DBF" w:rsidP="000A1DBF">
      <w:pPr>
        <w:pStyle w:val="Bezodstpw"/>
        <w:jc w:val="both"/>
      </w:pPr>
      <w:r w:rsidRPr="000A1DBF">
        <w:lastRenderedPageBreak/>
        <w:t xml:space="preserve">1) który wycofał ofertę przed upływem terminu składania ofert; </w:t>
      </w:r>
    </w:p>
    <w:p w:rsidR="000A1DBF" w:rsidRPr="000A1DBF" w:rsidRDefault="000A1DBF" w:rsidP="000A1DBF">
      <w:pPr>
        <w:pStyle w:val="Bezodstpw"/>
        <w:jc w:val="both"/>
      </w:pPr>
      <w:r w:rsidRPr="000A1DBF">
        <w:t xml:space="preserve">2) którego oferta została odrzucona; </w:t>
      </w:r>
    </w:p>
    <w:p w:rsidR="000A1DBF" w:rsidRPr="000A1DBF" w:rsidRDefault="000A1DBF" w:rsidP="000A1DBF">
      <w:pPr>
        <w:pStyle w:val="Bezodstpw"/>
        <w:jc w:val="both"/>
      </w:pPr>
      <w:r w:rsidRPr="000A1DBF">
        <w:t xml:space="preserve">3) po wyborze najkorzystniejszej oferty, z wyjątkiem wykonawcy, którego oferta została wybrana jako najkorzystniejsza; </w:t>
      </w:r>
    </w:p>
    <w:p w:rsidR="000A1DBF" w:rsidRPr="000A1DBF" w:rsidRDefault="000A1DBF" w:rsidP="000A1DBF">
      <w:pPr>
        <w:pStyle w:val="Bezodstpw"/>
        <w:jc w:val="both"/>
      </w:pPr>
      <w:r w:rsidRPr="000A1DBF">
        <w:t xml:space="preserve">4) po unieważnieniu postępowania, w przypadku gdy nie zostało rozstrzygnięte odwołanie na czynność unieważnienia albo nie upłynął termin do jego wniesienia. </w:t>
      </w:r>
    </w:p>
    <w:p w:rsidR="000A1DBF" w:rsidRPr="000A1DBF" w:rsidRDefault="000A1DBF" w:rsidP="000A1DBF">
      <w:pPr>
        <w:pStyle w:val="Bezodstpw"/>
        <w:jc w:val="both"/>
      </w:pPr>
      <w:r w:rsidRPr="000A1DBF">
        <w:t xml:space="preserve">Złożenie wniosku o zwrot wadium powoduje rozwiązanie stosunku prawnego z wykonawcą wraz z utratą przez niego prawa do korzystania ze środków ochrony prawnej, o których mowa w Dziale IX. ustawy PZP. </w:t>
      </w:r>
    </w:p>
    <w:p w:rsidR="000A1DBF" w:rsidRPr="000A1DBF" w:rsidRDefault="000A1DBF" w:rsidP="000A1DBF">
      <w:pPr>
        <w:pStyle w:val="Bezodstpw"/>
        <w:jc w:val="both"/>
      </w:pPr>
      <w:r w:rsidRPr="000A1DBF">
        <w:t xml:space="preserve">1.11. Zamawiający zwraca wadium wniesione w pieniądzu wraz z odsetkami wynikającymi z umowy rachunku bankowego, na którym było ono przechowywane, pomniejszone o koszty prowadzenia rachunku bankowego oraz prowizji bankowej za przelew </w:t>
      </w:r>
      <w:r w:rsidRPr="000A1DBF">
        <w:rPr>
          <w:rStyle w:val="apple-converted-space"/>
        </w:rPr>
        <w:t>pieniędzy</w:t>
      </w:r>
      <w:r w:rsidRPr="000A1DBF">
        <w:t xml:space="preserve"> na rachunek bankowy wskazany przez wykonawcę. </w:t>
      </w:r>
    </w:p>
    <w:p w:rsidR="000A1DBF" w:rsidRPr="000A1DBF" w:rsidRDefault="000A1DBF" w:rsidP="000A1DBF">
      <w:pPr>
        <w:pStyle w:val="Bezodstpw"/>
        <w:jc w:val="both"/>
      </w:pPr>
      <w:r w:rsidRPr="000A1DBF">
        <w:t>1.12. Zamawiający zwraca wadium wniesione w innej formie niż w pieniądzu poprzez złożenie gwarantowi lub poręczycielowi oświadczenia o zwolnieniu wadium.</w:t>
      </w:r>
    </w:p>
    <w:p w:rsidR="000A1DBF" w:rsidRPr="000A1DBF" w:rsidRDefault="000A1DBF" w:rsidP="000A1DBF">
      <w:pPr>
        <w:pStyle w:val="Bezodstpw"/>
        <w:jc w:val="both"/>
      </w:pPr>
      <w:r w:rsidRPr="000A1DBF">
        <w:t>1.13.Okoliczności zatrzymania wadium określa art. 98 ust. 6 ustawy PZP.</w:t>
      </w:r>
    </w:p>
    <w:p w:rsidR="000A1DBF" w:rsidRPr="000A1DBF" w:rsidRDefault="000A1DBF" w:rsidP="000A1DBF">
      <w:pPr>
        <w:pStyle w:val="DocumentMap"/>
        <w:rPr>
          <w:rStyle w:val="apple-converted-space"/>
          <w:rFonts w:asciiTheme="minorHAnsi" w:eastAsiaTheme="majorEastAsia" w:hAnsiTheme="minorHAnsi" w:cs="Calibri"/>
          <w:b/>
          <w:bCs/>
          <w:sz w:val="22"/>
          <w:szCs w:val="22"/>
        </w:rPr>
      </w:pPr>
      <w:r w:rsidRPr="000A1DBF">
        <w:rPr>
          <w:rStyle w:val="apple-converted-space"/>
          <w:rFonts w:asciiTheme="minorHAnsi" w:eastAsiaTheme="majorEastAsia" w:hAnsiTheme="minorHAnsi" w:cs="Calibri"/>
          <w:sz w:val="22"/>
          <w:szCs w:val="22"/>
        </w:rPr>
        <w:t xml:space="preserve">2. </w:t>
      </w:r>
      <w:r w:rsidRPr="000A1DBF">
        <w:rPr>
          <w:rStyle w:val="apple-converted-space"/>
          <w:rFonts w:asciiTheme="minorHAnsi" w:eastAsiaTheme="majorEastAsia" w:hAnsiTheme="minorHAnsi" w:cs="Calibri"/>
          <w:color w:val="auto"/>
          <w:sz w:val="22"/>
          <w:szCs w:val="22"/>
        </w:rPr>
        <w:t xml:space="preserve">Zamawiający wymaga wniesienia </w:t>
      </w:r>
      <w:r w:rsidRPr="000A1DBF">
        <w:rPr>
          <w:rStyle w:val="apple-converted-space"/>
          <w:rFonts w:asciiTheme="minorHAnsi" w:eastAsiaTheme="majorEastAsia" w:hAnsiTheme="minorHAnsi" w:cs="Calibri"/>
          <w:sz w:val="22"/>
          <w:szCs w:val="22"/>
        </w:rPr>
        <w:t>zabezpieczenie należytego wykonania umowy.</w:t>
      </w:r>
    </w:p>
    <w:p w:rsidR="000A1DBF" w:rsidRPr="000A1DBF" w:rsidRDefault="000A1DBF" w:rsidP="000A1DBF">
      <w:pPr>
        <w:pStyle w:val="DocumentMap"/>
        <w:jc w:val="both"/>
        <w:rPr>
          <w:rStyle w:val="ListLabel10"/>
          <w:rFonts w:asciiTheme="minorHAnsi" w:hAnsiTheme="minorHAnsi"/>
          <w:b w:val="0"/>
          <w:sz w:val="22"/>
          <w:szCs w:val="22"/>
        </w:rPr>
      </w:pPr>
      <w:r w:rsidRPr="000A1DBF">
        <w:rPr>
          <w:rStyle w:val="ListLabel10"/>
          <w:rFonts w:asciiTheme="minorHAnsi" w:hAnsiTheme="minorHAnsi"/>
          <w:b w:val="0"/>
          <w:sz w:val="22"/>
          <w:szCs w:val="22"/>
        </w:rPr>
        <w:t xml:space="preserve">2.1. Wykonawca, którego oferta zostanie wybrana, wniesie zabezpieczenie należytego wykonania umowy </w:t>
      </w:r>
      <w:r w:rsidRPr="000A1DBF">
        <w:rPr>
          <w:rStyle w:val="ListLabel10"/>
          <w:rFonts w:asciiTheme="minorHAnsi" w:hAnsiTheme="minorHAnsi"/>
          <w:b w:val="0"/>
          <w:sz w:val="22"/>
          <w:szCs w:val="22"/>
          <w:u w:val="single"/>
        </w:rPr>
        <w:t>w wysokości 5% wartości maksymalnej podanej w ofercie</w:t>
      </w:r>
      <w:r w:rsidRPr="000A1DBF">
        <w:rPr>
          <w:rStyle w:val="ListLabel10"/>
          <w:rFonts w:asciiTheme="minorHAnsi" w:hAnsiTheme="minorHAnsi"/>
          <w:b w:val="0"/>
          <w:sz w:val="22"/>
          <w:szCs w:val="22"/>
        </w:rPr>
        <w:t xml:space="preserve">. Zabezpieczenie gwarantuje należyte wykonanie zobowiązania oraz będzie służyło do pokrycia roszczeń z tytułu niewykonania lub nienależytego wykonania umowy. </w:t>
      </w:r>
    </w:p>
    <w:p w:rsidR="000A1DBF" w:rsidRPr="000A1DBF" w:rsidRDefault="000A1DBF" w:rsidP="000A1DBF">
      <w:pPr>
        <w:pStyle w:val="DocumentMap"/>
        <w:jc w:val="both"/>
        <w:rPr>
          <w:rStyle w:val="ListLabel10"/>
          <w:rFonts w:asciiTheme="minorHAnsi" w:hAnsiTheme="minorHAnsi"/>
          <w:b w:val="0"/>
          <w:sz w:val="22"/>
          <w:szCs w:val="22"/>
        </w:rPr>
      </w:pPr>
      <w:r w:rsidRPr="000A1DBF">
        <w:rPr>
          <w:rFonts w:asciiTheme="minorHAnsi" w:hAnsiTheme="minorHAnsi" w:cstheme="minorHAnsi"/>
          <w:sz w:val="22"/>
          <w:szCs w:val="22"/>
        </w:rPr>
        <w:t>2.2. Wykonawca oświadcza, że wyraża zgodę na przedłużenie okresu rękojmi za wady na</w:t>
      </w:r>
      <w:r w:rsidRPr="000A1DBF">
        <w:rPr>
          <w:rFonts w:asciiTheme="minorHAnsi" w:hAnsiTheme="minorHAnsi" w:cstheme="minorHAnsi"/>
          <w:spacing w:val="33"/>
          <w:sz w:val="22"/>
          <w:szCs w:val="22"/>
        </w:rPr>
        <w:t xml:space="preserve"> </w:t>
      </w:r>
      <w:r w:rsidRPr="000A1DBF">
        <w:rPr>
          <w:rFonts w:asciiTheme="minorHAnsi" w:hAnsiTheme="minorHAnsi" w:cstheme="minorHAnsi"/>
          <w:sz w:val="22"/>
          <w:szCs w:val="22"/>
        </w:rPr>
        <w:t xml:space="preserve">czas udzielonej gwarancji. </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 xml:space="preserve">2.3. Zabezpieczenie powinno być wniesione, według wyboru Wykonawcy, w jednej lub w kilku następujących formach: </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a) pieniądzu,</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b) poręczeniach bankowych lub poręczeniach spółdzielczej kasy oszczędnościowo-kredytowej, z tym że zobowiązanie kasy jest zawsze zabezpieczeniem pieniężnym,</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c) gwarancjach bankowych,</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d) gwarancjach ubezpieczeniowych,</w:t>
      </w:r>
    </w:p>
    <w:p w:rsidR="000A1DBF" w:rsidRPr="000A1DBF" w:rsidRDefault="000A1DBF" w:rsidP="000A1DBF">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e) poręczeniach udzielonych przez podmioty, o których mowa w art. 6b ust. 5 pkt 2 ustawy z dnia 9 listopada 2000r. o utworzeniu Polskiej Agencji Rozwoju Przedsiębiorczości (t.j: Dz. U. z 2023 r. poz. 462).</w:t>
      </w:r>
    </w:p>
    <w:p w:rsidR="000A1DBF" w:rsidRPr="000A1DBF" w:rsidRDefault="000A1DBF" w:rsidP="00EB74B6">
      <w:pPr>
        <w:pStyle w:val="Akapitzlist"/>
        <w:widowControl w:val="0"/>
        <w:numPr>
          <w:ilvl w:val="1"/>
          <w:numId w:val="11"/>
        </w:numPr>
        <w:tabs>
          <w:tab w:val="left" w:pos="-5670"/>
          <w:tab w:val="left" w:pos="0"/>
        </w:tabs>
        <w:autoSpaceDE w:val="0"/>
        <w:autoSpaceDN w:val="0"/>
        <w:spacing w:after="0" w:line="240" w:lineRule="auto"/>
        <w:contextualSpacing w:val="0"/>
        <w:jc w:val="both"/>
        <w:rPr>
          <w:rFonts w:cstheme="minorHAnsi"/>
        </w:rPr>
      </w:pPr>
      <w:r w:rsidRPr="000A1DBF">
        <w:rPr>
          <w:rFonts w:cstheme="minorHAnsi"/>
        </w:rPr>
        <w:t xml:space="preserve"> Zabezpieczenie należytego wykonania umowy zostanie zwrócone w następujących terminach:</w:t>
      </w:r>
    </w:p>
    <w:p w:rsidR="000A1DBF" w:rsidRPr="000A1DBF" w:rsidRDefault="000A1DBF" w:rsidP="000A1DBF">
      <w:pPr>
        <w:pStyle w:val="Akapitzlist"/>
        <w:tabs>
          <w:tab w:val="left" w:pos="-5670"/>
          <w:tab w:val="left" w:pos="142"/>
        </w:tabs>
        <w:autoSpaceDE w:val="0"/>
        <w:autoSpaceDN w:val="0"/>
        <w:spacing w:line="240" w:lineRule="auto"/>
        <w:ind w:left="0" w:right="4"/>
        <w:jc w:val="both"/>
        <w:rPr>
          <w:rFonts w:cstheme="minorHAnsi"/>
        </w:rPr>
      </w:pPr>
      <w:r w:rsidRPr="000A1DBF">
        <w:rPr>
          <w:rFonts w:cstheme="minorHAnsi"/>
        </w:rPr>
        <w:t>a)  70% zabezpieczenia należytego wykonania umowy, tj. kwotę gwarantującą zgodne z umową wykonanie przedmiotu zamówienia, w terminie do 30 dni kalendarzowych po ostatecznym, bezusterkowym odbiorze przedmiotu</w:t>
      </w:r>
      <w:r w:rsidRPr="000A1DBF">
        <w:rPr>
          <w:rFonts w:cstheme="minorHAnsi"/>
          <w:spacing w:val="-1"/>
        </w:rPr>
        <w:t xml:space="preserve"> </w:t>
      </w:r>
      <w:r w:rsidRPr="000A1DBF">
        <w:rPr>
          <w:rFonts w:cstheme="minorHAnsi"/>
        </w:rPr>
        <w:t>zamówienia,</w:t>
      </w:r>
    </w:p>
    <w:p w:rsidR="000A1DBF" w:rsidRPr="000A1DBF" w:rsidRDefault="000A1DBF" w:rsidP="000A1DBF">
      <w:pPr>
        <w:pStyle w:val="Akapitzlist"/>
        <w:tabs>
          <w:tab w:val="left" w:pos="-5670"/>
          <w:tab w:val="left" w:pos="0"/>
        </w:tabs>
        <w:autoSpaceDE w:val="0"/>
        <w:autoSpaceDN w:val="0"/>
        <w:spacing w:line="240" w:lineRule="auto"/>
        <w:ind w:left="0" w:right="4"/>
        <w:jc w:val="both"/>
        <w:rPr>
          <w:rFonts w:cstheme="minorHAnsi"/>
        </w:rPr>
      </w:pPr>
      <w:r w:rsidRPr="000A1DBF">
        <w:rPr>
          <w:rFonts w:cstheme="minorHAnsi"/>
        </w:rPr>
        <w:t xml:space="preserve">b) 30% zabezpieczenia należytego wykonania umowy, w terminie nie później niż w 15 dniu kalendarzowym po upływie okresu rękojmi za wady, który to okres jest równy okresowi udzielonej gwarancji. </w:t>
      </w:r>
    </w:p>
    <w:p w:rsidR="000A1DBF" w:rsidRPr="00EB4C1C" w:rsidRDefault="000A1DBF" w:rsidP="000A1DBF">
      <w:pPr>
        <w:pStyle w:val="DocumentMap"/>
        <w:jc w:val="both"/>
        <w:rPr>
          <w:rStyle w:val="apple-converted-space"/>
          <w:rFonts w:ascii="Calibri" w:eastAsiaTheme="majorEastAsia" w:hAnsi="Calibri" w:cs="Calibri"/>
          <w:sz w:val="22"/>
          <w:szCs w:val="22"/>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.doc, .docx, .rtf, .txt, .odt</w:t>
      </w:r>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lastRenderedPageBreak/>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r w:rsidR="00796526">
        <w:t>t.j.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Pzp.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 xml:space="preserve">6.1. Przez tajemnicę przedsiębiorstwa rozumie się nieujawnione do wiadomości publicznej informacje techniczne, technologiczne, organizacyjne przedsiębiorstwa lub inne informacje </w:t>
      </w:r>
      <w:r w:rsidRPr="00A87282">
        <w:lastRenderedPageBreak/>
        <w:t>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r>
        <w:t>Pzp</w:t>
      </w:r>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2F27FC"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Default="00E25589" w:rsidP="00E25589">
      <w:pPr>
        <w:pStyle w:val="Bezodstpw"/>
        <w:jc w:val="both"/>
      </w:pPr>
      <w:r w:rsidRPr="00367F88">
        <w:lastRenderedPageBreak/>
        <w:t>1</w:t>
      </w:r>
      <w:r>
        <w:t>0</w:t>
      </w:r>
      <w:r w:rsidRPr="00367F88">
        <w:t>. Zawartość oferty</w:t>
      </w:r>
    </w:p>
    <w:p w:rsidR="00E25589" w:rsidRPr="00367F88" w:rsidRDefault="00E25589" w:rsidP="00E25589">
      <w:pPr>
        <w:pStyle w:val="Bezodstpw"/>
        <w:jc w:val="both"/>
        <w:rPr>
          <w:b/>
          <w:sz w:val="24"/>
          <w:szCs w:val="24"/>
          <w:u w:val="single"/>
        </w:rPr>
      </w:pPr>
      <w:r w:rsidRPr="00367F88">
        <w:rPr>
          <w:b/>
          <w:sz w:val="24"/>
          <w:szCs w:val="24"/>
          <w:u w:val="single"/>
        </w:rPr>
        <w:t xml:space="preserve">DO OFERTY NALEŻY DOŁĄCZYĆ: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B47B49" w:rsidRPr="00B47B49" w:rsidRDefault="00B47B49" w:rsidP="00E25589">
      <w:pPr>
        <w:pStyle w:val="Bezodstpw"/>
        <w:jc w:val="both"/>
        <w:rPr>
          <w:b/>
        </w:rPr>
      </w:pPr>
      <w:r>
        <w:t xml:space="preserve">10.5. </w:t>
      </w:r>
      <w:r w:rsidRPr="00B47B49">
        <w:rPr>
          <w:b/>
        </w:rPr>
        <w:t>Dokumenty przedmiotowe</w:t>
      </w:r>
      <w:r>
        <w:t xml:space="preserve"> (</w:t>
      </w:r>
      <w:r>
        <w:rPr>
          <w:b/>
        </w:rPr>
        <w:t>k</w:t>
      </w:r>
      <w:r w:rsidRPr="00B47B49">
        <w:rPr>
          <w:b/>
        </w:rPr>
        <w:t>arty katalogowe</w:t>
      </w:r>
      <w:r>
        <w:rPr>
          <w:b/>
        </w:rPr>
        <w:t xml:space="preserve">) </w:t>
      </w:r>
      <w:r w:rsidRPr="00B47B49">
        <w:t>– zgodnie z postanowieniami Rozdziału VI niniejszej SWZ</w:t>
      </w:r>
      <w:r>
        <w:rPr>
          <w:b/>
        </w:rPr>
        <w:t xml:space="preserve"> </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lastRenderedPageBreak/>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B80FB0">
        <w:rPr>
          <w:b/>
        </w:rPr>
        <w:t>05.06.2024</w:t>
      </w:r>
      <w:r w:rsidRPr="00AD49D3">
        <w:rPr>
          <w:b/>
        </w:rPr>
        <w:t xml:space="preserve"> r., do</w:t>
      </w:r>
      <w:r w:rsidRPr="00715147">
        <w:rPr>
          <w:b/>
          <w:color w:val="FF0000"/>
        </w:rPr>
        <w:t xml:space="preserve"> </w:t>
      </w:r>
      <w:r w:rsidRPr="00084644">
        <w:rPr>
          <w:b/>
          <w:color w:val="000000" w:themeColor="text1"/>
        </w:rPr>
        <w:t>godz. 1</w:t>
      </w:r>
      <w:r w:rsidR="00B80FB0">
        <w:rPr>
          <w:b/>
          <w:color w:val="000000" w:themeColor="text1"/>
        </w:rPr>
        <w:t>2</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B80FB0">
        <w:rPr>
          <w:b/>
        </w:rPr>
        <w:t>05.06.2024</w:t>
      </w:r>
      <w:r w:rsidRPr="00AD49D3">
        <w:rPr>
          <w:b/>
        </w:rPr>
        <w:t xml:space="preserve"> r. o godzinie 1</w:t>
      </w:r>
      <w:r w:rsidR="00B80FB0">
        <w:rPr>
          <w:b/>
        </w:rPr>
        <w:t>2</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Pzp, z zastrzeżeniem art. 110 ust. 2 ustawy Pzp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(Dz.U. z 202</w:t>
      </w:r>
      <w:r w:rsidR="000A309D">
        <w:rPr>
          <w:rFonts w:cs="Arial"/>
          <w:color w:val="000000" w:themeColor="text1"/>
        </w:rPr>
        <w:t>3</w:t>
      </w:r>
      <w:r w:rsidRPr="00220C0F">
        <w:rPr>
          <w:rFonts w:cs="Arial"/>
          <w:color w:val="000000" w:themeColor="text1"/>
        </w:rPr>
        <w:t xml:space="preserve"> r. poz. </w:t>
      </w:r>
      <w:r w:rsidR="000A309D">
        <w:rPr>
          <w:rFonts w:cs="Arial"/>
          <w:color w:val="000000" w:themeColor="text1"/>
        </w:rPr>
        <w:t>1497</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Pzp,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sidR="000A309D">
        <w:rPr>
          <w:color w:val="000000" w:themeColor="text1"/>
        </w:rPr>
        <w:t>2</w:t>
      </w:r>
      <w:r w:rsidRPr="00B019D0">
        <w:rPr>
          <w:color w:val="000000" w:themeColor="text1"/>
        </w:rPr>
        <w:t xml:space="preserve"> r. </w:t>
      </w:r>
      <w:r w:rsidR="000A309D">
        <w:rPr>
          <w:color w:val="000000" w:themeColor="text1"/>
        </w:rPr>
        <w:t>1599, 2185</w:t>
      </w:r>
      <w:r w:rsidRPr="00B019D0">
        <w:rPr>
          <w:color w:val="000000" w:themeColor="text1"/>
        </w:rPr>
        <w:t>) lub w art. 54 ust. 1–4 ustawy z dnia 12 maja 2011 r. o refundacji leków, środków spożywczych specjalnego przeznaczenia żywieniowego oraz wyrobów medycznych (Dz. U. z 202</w:t>
      </w:r>
      <w:r w:rsidR="000A309D">
        <w:rPr>
          <w:color w:val="000000" w:themeColor="text1"/>
        </w:rPr>
        <w:t>3</w:t>
      </w:r>
      <w:r w:rsidRPr="00B019D0">
        <w:rPr>
          <w:color w:val="000000" w:themeColor="text1"/>
        </w:rPr>
        <w:t xml:space="preserve"> r. poz. </w:t>
      </w:r>
      <w:r w:rsidR="000A309D">
        <w:rPr>
          <w:color w:val="000000" w:themeColor="text1"/>
        </w:rPr>
        <w:t>826</w:t>
      </w:r>
      <w:r w:rsidRPr="00B019D0">
        <w:rPr>
          <w:color w:val="000000" w:themeColor="text1"/>
        </w:rPr>
        <w:t>)</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lastRenderedPageBreak/>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(Dz.U. poz.769)</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(Dz.U. z 202</w:t>
      </w:r>
      <w:r w:rsidR="000A309D">
        <w:rPr>
          <w:color w:val="000000" w:themeColor="text1"/>
        </w:rPr>
        <w:t>3</w:t>
      </w:r>
      <w:r w:rsidRPr="00220C0F">
        <w:rPr>
          <w:color w:val="000000" w:themeColor="text1"/>
        </w:rPr>
        <w:t xml:space="preserve"> r. poz. </w:t>
      </w:r>
      <w:r w:rsidR="000A309D">
        <w:rPr>
          <w:color w:val="000000" w:themeColor="text1"/>
        </w:rPr>
        <w:t>1497</w:t>
      </w:r>
      <w:r w:rsidRPr="00220C0F">
        <w:rPr>
          <w:color w:val="000000" w:themeColor="text1"/>
        </w:rPr>
        <w:t xml:space="preserve">)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0A309D">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w:t>
      </w:r>
      <w:r w:rsidRPr="00220C0F">
        <w:rPr>
          <w:color w:val="000000" w:themeColor="text1"/>
        </w:rPr>
        <w:lastRenderedPageBreak/>
        <w:t xml:space="preserve">269/2014 albo wpisany na listę lub będący taką jednostką dominującą od dnia 24 lutego 2022 r., o ile 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Pzp.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Pzp,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E25589" w:rsidRPr="00BF34DD" w:rsidRDefault="00E25589" w:rsidP="00E25589">
      <w:pPr>
        <w:autoSpaceDE w:val="0"/>
        <w:autoSpaceDN w:val="0"/>
        <w:adjustRightInd w:val="0"/>
        <w:jc w:val="both"/>
        <w:rPr>
          <w:rFonts w:cs="Tahoma"/>
        </w:rPr>
      </w:pPr>
      <w:r w:rsidRPr="00446150">
        <w:rPr>
          <w:rFonts w:cs="Tahoma"/>
        </w:rPr>
        <w:t>Zamawiający nie określił warunków udział</w:t>
      </w:r>
      <w:r>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5B3AB0" w:rsidRDefault="003416AA" w:rsidP="00EB74B6">
      <w:pPr>
        <w:pStyle w:val="Bezodstpw"/>
        <w:numPr>
          <w:ilvl w:val="0"/>
          <w:numId w:val="7"/>
        </w:numPr>
        <w:tabs>
          <w:tab w:val="left" w:pos="284"/>
        </w:tabs>
        <w:ind w:left="0" w:firstLine="0"/>
        <w:jc w:val="both"/>
        <w:rPr>
          <w:rStyle w:val="apple-converted-space"/>
        </w:rPr>
      </w:pPr>
      <w:r w:rsidRPr="003416AA">
        <w:rPr>
          <w:rStyle w:val="apple-converted-space"/>
        </w:rPr>
        <w:t xml:space="preserve">Cena podana w ofercie powinna zawierać wszystkie koszty związane z realizacją przedmiotu zamówienia, tj. w szczególności: </w:t>
      </w:r>
    </w:p>
    <w:p w:rsidR="005B3AB0" w:rsidRPr="00596242" w:rsidRDefault="005B3AB0" w:rsidP="00B47B49">
      <w:pPr>
        <w:pStyle w:val="Bezodstpw"/>
        <w:numPr>
          <w:ilvl w:val="0"/>
          <w:numId w:val="8"/>
        </w:numPr>
        <w:jc w:val="both"/>
      </w:pPr>
      <w:r>
        <w:rPr>
          <w:rStyle w:val="apple-converted-space"/>
        </w:rPr>
        <w:t>k</w:t>
      </w:r>
      <w:r w:rsidRPr="005B3AB0">
        <w:rPr>
          <w:rStyle w:val="apple-converted-space"/>
        </w:rPr>
        <w:t xml:space="preserve">oszty </w:t>
      </w:r>
      <w:r w:rsidR="00596242">
        <w:rPr>
          <w:rStyle w:val="apple-converted-space"/>
        </w:rPr>
        <w:t xml:space="preserve">dostawy </w:t>
      </w:r>
      <w:r w:rsidRPr="005B3AB0">
        <w:rPr>
          <w:rFonts w:cs="Times New Roman"/>
        </w:rPr>
        <w:t xml:space="preserve">urządzeń </w:t>
      </w:r>
      <w:r w:rsidR="00596242">
        <w:rPr>
          <w:rFonts w:cs="Times New Roman"/>
        </w:rPr>
        <w:t>i konfiguracji,</w:t>
      </w:r>
    </w:p>
    <w:p w:rsidR="00596242" w:rsidRPr="005B3AB0" w:rsidRDefault="00596242" w:rsidP="00B47B49">
      <w:pPr>
        <w:pStyle w:val="Bezodstpw"/>
        <w:numPr>
          <w:ilvl w:val="0"/>
          <w:numId w:val="8"/>
        </w:numPr>
        <w:jc w:val="both"/>
      </w:pPr>
      <w:r>
        <w:rPr>
          <w:rFonts w:cs="Times New Roman"/>
        </w:rPr>
        <w:t>koszty transportu,</w:t>
      </w:r>
    </w:p>
    <w:p w:rsidR="003416AA" w:rsidRPr="003416AA" w:rsidRDefault="005B3AB0" w:rsidP="00EB74B6">
      <w:pPr>
        <w:pStyle w:val="Bezodstpw"/>
        <w:numPr>
          <w:ilvl w:val="0"/>
          <w:numId w:val="8"/>
        </w:numPr>
        <w:jc w:val="both"/>
        <w:rPr>
          <w:rStyle w:val="apple-converted-space"/>
        </w:rPr>
      </w:pPr>
      <w:r>
        <w:rPr>
          <w:rStyle w:val="apple-converted-space"/>
        </w:rPr>
        <w:lastRenderedPageBreak/>
        <w:t>koszty gwarancyjne i</w:t>
      </w:r>
      <w:r w:rsidR="003416AA" w:rsidRPr="003416AA">
        <w:rPr>
          <w:rStyle w:val="apple-converted-space"/>
        </w:rPr>
        <w:t xml:space="preserve"> koszty pracy ponoszone przez Wykonawcę ustalane zgodnie z przepisami ustawy z dnia 10 października 2002 r. o minimalnym wynagrodzeniu za pracę (t.j. Dz.U. z 2020 r. poz. 2207</w:t>
      </w:r>
      <w:r w:rsidR="003416AA">
        <w:rPr>
          <w:rStyle w:val="apple-converted-space"/>
        </w:rPr>
        <w:t xml:space="preserve"> ze zmianami</w:t>
      </w:r>
      <w:r w:rsidR="003416AA" w:rsidRPr="003416AA">
        <w:rPr>
          <w:rStyle w:val="apple-converted-space"/>
        </w:rPr>
        <w:t xml:space="preserve">), itp. </w:t>
      </w:r>
    </w:p>
    <w:p w:rsidR="003416AA" w:rsidRPr="003416AA" w:rsidRDefault="003416AA" w:rsidP="003416AA">
      <w:pPr>
        <w:pStyle w:val="DocumentMap"/>
        <w:jc w:val="both"/>
        <w:rPr>
          <w:rStyle w:val="apple-converted-space"/>
          <w:rFonts w:asciiTheme="minorHAnsi" w:eastAsiaTheme="majorEastAsia" w:hAnsiTheme="minorHAnsi"/>
          <w:sz w:val="22"/>
          <w:szCs w:val="22"/>
        </w:rPr>
      </w:pPr>
      <w:r w:rsidRPr="003416AA">
        <w:rPr>
          <w:rStyle w:val="apple-converted-space"/>
          <w:rFonts w:asciiTheme="minorHAnsi" w:eastAsiaTheme="majorEastAsia" w:hAnsiTheme="minorHAnsi"/>
          <w:sz w:val="22"/>
          <w:szCs w:val="22"/>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DB3C20" w:rsidRPr="000B548D" w:rsidRDefault="00DB3C20" w:rsidP="00DB3C20">
      <w:pPr>
        <w:pStyle w:val="Bezodstpw"/>
        <w:jc w:val="both"/>
      </w:pPr>
      <w:r>
        <w:rPr>
          <w:color w:val="000000"/>
        </w:rPr>
        <w:t>3</w:t>
      </w:r>
      <w:r w:rsidRPr="000B548D">
        <w:rPr>
          <w:color w:val="000000"/>
        </w:rPr>
        <w:t>. C</w:t>
      </w:r>
      <w:r w:rsidRPr="000B548D">
        <w:t>en</w:t>
      </w:r>
      <w:r>
        <w:t>a</w:t>
      </w:r>
      <w:r w:rsidRPr="000B548D">
        <w:t xml:space="preserve"> </w:t>
      </w:r>
      <w:r>
        <w:t xml:space="preserve">dla każdej z części postepowania </w:t>
      </w:r>
      <w:r w:rsidRPr="000B548D">
        <w:t>winn</w:t>
      </w:r>
      <w:r>
        <w:t>a</w:t>
      </w:r>
      <w:r w:rsidRPr="000B548D">
        <w:t xml:space="preserve"> być podan</w:t>
      </w:r>
      <w:r>
        <w:t>a</w:t>
      </w:r>
      <w:r w:rsidRPr="000B548D">
        <w:t xml:space="preserve"> z dokładnością do dwóch znaków po przecinku, zgodnie z polskim systemem płatniczym po zaokrągleniu do pełnych groszy, przy czym końcówki poniżej 0,5 grosza pomija się, a końcówki 0,5 grosza i wyższe zaokrągla się do 1 grosza. </w:t>
      </w:r>
    </w:p>
    <w:p w:rsidR="00DB3C20" w:rsidRPr="000B548D" w:rsidRDefault="00DB3C20" w:rsidP="00DB3C20">
      <w:pPr>
        <w:pStyle w:val="Bezodstpw"/>
        <w:jc w:val="both"/>
        <w:rPr>
          <w:color w:val="000000"/>
        </w:rPr>
      </w:pPr>
      <w:r>
        <w:rPr>
          <w:color w:val="000000"/>
        </w:rPr>
        <w:t>5</w:t>
      </w:r>
      <w:r w:rsidRPr="000B548D">
        <w:rPr>
          <w:color w:val="000000"/>
        </w:rPr>
        <w:t>. Podana cena jest obowiązująca w całym okresie związania  ofertą.</w:t>
      </w:r>
    </w:p>
    <w:p w:rsidR="00DB3C20" w:rsidRDefault="00DB3C20" w:rsidP="00DB3C20">
      <w:pPr>
        <w:pStyle w:val="Bezodstpw"/>
        <w:jc w:val="both"/>
        <w:rPr>
          <w:color w:val="000000"/>
        </w:rPr>
      </w:pPr>
      <w:r>
        <w:rPr>
          <w:color w:val="000000"/>
        </w:rPr>
        <w:t>6</w:t>
      </w:r>
      <w:r w:rsidRPr="000B548D">
        <w:rPr>
          <w:color w:val="000000"/>
        </w:rPr>
        <w:t xml:space="preserve">. Rozliczenia między Zamawiającym, a </w:t>
      </w:r>
      <w:r w:rsidRPr="000B548D">
        <w:t>W</w:t>
      </w:r>
      <w:r w:rsidRPr="000B548D">
        <w:rPr>
          <w:color w:val="000000"/>
        </w:rPr>
        <w:t>ykonawcą prowadzone będą w walucie polskiej PLN. Zamawiający nie przewiduje rozliczenia w walutach obcych</w:t>
      </w:r>
      <w:r>
        <w:rPr>
          <w:color w:val="000000"/>
        </w:rPr>
        <w:t xml:space="preserve">. </w:t>
      </w:r>
    </w:p>
    <w:p w:rsidR="003416AA" w:rsidRPr="003416AA" w:rsidRDefault="00DB3C20" w:rsidP="003416AA">
      <w:pPr>
        <w:pStyle w:val="DocumentMap"/>
        <w:jc w:val="both"/>
        <w:rPr>
          <w:rFonts w:asciiTheme="minorHAnsi" w:hAnsiTheme="minorHAnsi" w:cs="Tahoma"/>
          <w:color w:val="000000"/>
          <w:sz w:val="22"/>
          <w:szCs w:val="22"/>
          <w:u w:val="single"/>
        </w:rPr>
      </w:pPr>
      <w:r>
        <w:rPr>
          <w:rFonts w:asciiTheme="minorHAnsi" w:hAnsiTheme="minorHAnsi" w:cs="Tahoma"/>
          <w:color w:val="000000"/>
          <w:sz w:val="22"/>
          <w:szCs w:val="22"/>
        </w:rPr>
        <w:t>7</w:t>
      </w:r>
      <w:r w:rsidR="003416AA" w:rsidRPr="003416AA">
        <w:rPr>
          <w:rFonts w:asciiTheme="minorHAnsi" w:hAnsiTheme="minorHAnsi" w:cs="Tahoma"/>
          <w:color w:val="000000"/>
          <w:sz w:val="22"/>
          <w:szCs w:val="22"/>
        </w:rPr>
        <w:t xml:space="preserve">. Cena  oferty brutto będzie stanowić podstawę porównania ofert i wyboru oferty najkorzystniejszej spośród ofert nie podlegających odrzuceniu. </w:t>
      </w:r>
    </w:p>
    <w:p w:rsidR="003416AA" w:rsidRPr="003416AA" w:rsidRDefault="00DB3C20" w:rsidP="003416AA">
      <w:pPr>
        <w:pStyle w:val="DocumentMap"/>
        <w:jc w:val="both"/>
        <w:rPr>
          <w:rFonts w:asciiTheme="minorHAnsi" w:hAnsiTheme="minorHAnsi"/>
          <w:sz w:val="22"/>
          <w:szCs w:val="22"/>
        </w:rPr>
      </w:pPr>
      <w:r>
        <w:rPr>
          <w:rFonts w:asciiTheme="minorHAnsi" w:hAnsiTheme="minorHAnsi"/>
          <w:sz w:val="22"/>
          <w:szCs w:val="22"/>
        </w:rPr>
        <w:t>8</w:t>
      </w:r>
      <w:r w:rsidR="003416AA" w:rsidRPr="003416AA">
        <w:rPr>
          <w:rFonts w:asciiTheme="minorHAnsi" w:hAnsiTheme="minorHAnsi"/>
          <w:sz w:val="22"/>
          <w:szCs w:val="22"/>
        </w:rPr>
        <w:t>. Jeżeli zostanie złożona oferta, której wybór prowadziłby do powstania u Zamawiającego obowiązku podatkowego zgodnie z ustawą z dnia 11 marca 2004 r. o podatku od towarów i usług (Dz. U. z 20</w:t>
      </w:r>
      <w:r w:rsidR="003416AA">
        <w:rPr>
          <w:rFonts w:asciiTheme="minorHAnsi" w:hAnsiTheme="minorHAnsi"/>
          <w:sz w:val="22"/>
          <w:szCs w:val="22"/>
        </w:rPr>
        <w:t>23</w:t>
      </w:r>
      <w:r w:rsidR="003416AA" w:rsidRPr="003416AA">
        <w:rPr>
          <w:rFonts w:asciiTheme="minorHAnsi" w:hAnsiTheme="minorHAnsi"/>
          <w:sz w:val="22"/>
          <w:szCs w:val="22"/>
        </w:rPr>
        <w:t xml:space="preserve"> r. poz. </w:t>
      </w:r>
      <w:r w:rsidR="003416AA">
        <w:rPr>
          <w:rFonts w:asciiTheme="minorHAnsi" w:hAnsiTheme="minorHAnsi"/>
          <w:sz w:val="22"/>
          <w:szCs w:val="22"/>
        </w:rPr>
        <w:t>1570, 1598</w:t>
      </w:r>
      <w:r w:rsidR="003416AA" w:rsidRPr="003416AA">
        <w:rPr>
          <w:rFonts w:asciiTheme="minorHAnsi" w:hAnsiTheme="minorHAnsi"/>
          <w:sz w:val="22"/>
          <w:szCs w:val="22"/>
        </w:rPr>
        <w:t>), dla celów zastosowania kryterium ceny lub kosztu Zamawiający doliczy do przedstawionej w tej ofercie ceny kwotę podatku od towarów i usług, którą miałby obowiązek rozliczyć . W ofercie, o której mowa w ust. 1, Wykonawca ma obowiązek:</w:t>
      </w:r>
    </w:p>
    <w:p w:rsidR="003416AA" w:rsidRPr="003416AA" w:rsidRDefault="003416AA" w:rsidP="00EB74B6">
      <w:pPr>
        <w:pStyle w:val="Bezodstpw"/>
        <w:numPr>
          <w:ilvl w:val="0"/>
          <w:numId w:val="6"/>
        </w:numPr>
        <w:tabs>
          <w:tab w:val="left" w:pos="284"/>
        </w:tabs>
        <w:suppressAutoHyphens/>
        <w:overflowPunct w:val="0"/>
        <w:ind w:left="0" w:firstLine="0"/>
        <w:jc w:val="both"/>
      </w:pPr>
      <w:r w:rsidRPr="003416AA">
        <w:t>poinformowania Zamawiającego, że wybór jego oferty będzie prowadził do powstania u Zamawiającego obowiązku podatkowego;</w:t>
      </w:r>
    </w:p>
    <w:p w:rsidR="003416AA" w:rsidRPr="003416AA" w:rsidRDefault="003416AA" w:rsidP="00EB74B6">
      <w:pPr>
        <w:pStyle w:val="Bezodstpw"/>
        <w:numPr>
          <w:ilvl w:val="0"/>
          <w:numId w:val="6"/>
        </w:numPr>
        <w:tabs>
          <w:tab w:val="left" w:pos="284"/>
        </w:tabs>
        <w:suppressAutoHyphens/>
        <w:overflowPunct w:val="0"/>
        <w:ind w:left="0" w:firstLine="0"/>
        <w:jc w:val="both"/>
        <w:rPr>
          <w:u w:val="single"/>
        </w:rPr>
      </w:pPr>
      <w:r w:rsidRPr="003416AA">
        <w:t>wskazania nazwy (rodzaju) towaru lub usługi, których dostawa lub świadczenie będą prowadziły do powstania obowiązku podatkowego;</w:t>
      </w:r>
    </w:p>
    <w:p w:rsidR="003416AA" w:rsidRPr="003416AA" w:rsidRDefault="003416AA" w:rsidP="00EB74B6">
      <w:pPr>
        <w:pStyle w:val="Bezodstpw"/>
        <w:numPr>
          <w:ilvl w:val="0"/>
          <w:numId w:val="6"/>
        </w:numPr>
        <w:tabs>
          <w:tab w:val="left" w:pos="284"/>
          <w:tab w:val="left" w:pos="426"/>
        </w:tabs>
        <w:suppressAutoHyphens/>
        <w:overflowPunct w:val="0"/>
        <w:ind w:left="0" w:firstLine="0"/>
        <w:jc w:val="both"/>
        <w:rPr>
          <w:u w:val="single"/>
        </w:rPr>
      </w:pPr>
      <w:r w:rsidRPr="003416AA">
        <w:t>wskazania wartości towaru lub usługi objętego obowiązkiem podatkowym zamawiającego, bez kwoty podatku;</w:t>
      </w:r>
    </w:p>
    <w:p w:rsidR="003416AA" w:rsidRPr="003416AA" w:rsidRDefault="003416AA" w:rsidP="00EB74B6">
      <w:pPr>
        <w:pStyle w:val="Bezodstpw"/>
        <w:numPr>
          <w:ilvl w:val="0"/>
          <w:numId w:val="6"/>
        </w:numPr>
        <w:tabs>
          <w:tab w:val="left" w:pos="284"/>
        </w:tabs>
        <w:suppressAutoHyphens/>
        <w:overflowPunct w:val="0"/>
        <w:ind w:left="0" w:firstLine="0"/>
        <w:jc w:val="both"/>
      </w:pPr>
      <w:r w:rsidRPr="003416AA">
        <w:t>wskazania stawki podatku od towarów i usług, która zgodnie z wiedzą Wykonawcy, będzie miała zastosowanie.</w:t>
      </w:r>
    </w:p>
    <w:p w:rsidR="00E25589" w:rsidRDefault="00E25589" w:rsidP="00E25589">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DB3C20" w:rsidRPr="00072463" w:rsidRDefault="00DB3C20" w:rsidP="00DB3C20">
      <w:pPr>
        <w:pStyle w:val="Tekstpodstawowy3"/>
        <w:jc w:val="both"/>
        <w:rPr>
          <w:rFonts w:asciiTheme="minorHAnsi" w:hAnsiTheme="minorHAnsi"/>
          <w:sz w:val="22"/>
          <w:szCs w:val="22"/>
        </w:rPr>
      </w:pPr>
      <w:r w:rsidRPr="00072463">
        <w:rPr>
          <w:rFonts w:asciiTheme="minorHAnsi" w:hAnsiTheme="minorHAnsi"/>
          <w:sz w:val="22"/>
          <w:szCs w:val="22"/>
        </w:rPr>
        <w:t>O wyborze najkorzystniejszej oferty, w każdej części postępowania, decydować będą następujące kryteria:</w:t>
      </w:r>
    </w:p>
    <w:p w:rsidR="00DB3C20" w:rsidRPr="00072463" w:rsidRDefault="00DB3C20" w:rsidP="00DB3C20">
      <w:pPr>
        <w:pStyle w:val="DocumentMap"/>
        <w:jc w:val="both"/>
        <w:rPr>
          <w:rFonts w:asciiTheme="minorHAnsi" w:hAnsiTheme="minorHAnsi"/>
          <w:b/>
          <w:sz w:val="22"/>
          <w:szCs w:val="22"/>
        </w:rPr>
      </w:pPr>
      <w:r w:rsidRPr="00072463">
        <w:rPr>
          <w:rFonts w:asciiTheme="minorHAnsi" w:hAnsiTheme="minorHAnsi"/>
          <w:b/>
          <w:sz w:val="22"/>
          <w:szCs w:val="22"/>
        </w:rPr>
        <w:t>1. Cena ofertowa – 60% (cena oferty brutto) - maksymalnie Wykonawca może otrzymać 60 punktów</w:t>
      </w:r>
    </w:p>
    <w:p w:rsidR="00DB3C20" w:rsidRPr="00072463" w:rsidRDefault="00DB3C20" w:rsidP="00DB3C20">
      <w:pPr>
        <w:pStyle w:val="DocumentMap"/>
        <w:rPr>
          <w:rFonts w:asciiTheme="minorHAnsi" w:hAnsiTheme="minorHAnsi"/>
          <w:sz w:val="22"/>
          <w:szCs w:val="22"/>
        </w:rPr>
      </w:pPr>
      <w:r w:rsidRPr="00072463">
        <w:rPr>
          <w:rFonts w:asciiTheme="minorHAnsi" w:hAnsiTheme="minorHAnsi"/>
          <w:sz w:val="22"/>
          <w:szCs w:val="22"/>
        </w:rPr>
        <w:t xml:space="preserve">Sposób obliczenia (przyznania) punktów w odniesieniu do kryterium ceny: </w:t>
      </w:r>
    </w:p>
    <w:p w:rsidR="00DB3C20" w:rsidRDefault="00DB3C20" w:rsidP="00DB3C20">
      <w:pPr>
        <w:spacing w:before="30" w:after="30" w:line="336" w:lineRule="auto"/>
        <w:ind w:left="567"/>
        <w:jc w:val="both"/>
        <w:rPr>
          <w:rFonts w:cs="Verdana"/>
          <w:color w:val="000000"/>
        </w:rPr>
      </w:pPr>
      <w:r w:rsidRPr="00072463">
        <w:rPr>
          <w:rFonts w:cs="Verdana"/>
          <w:b/>
          <w:color w:val="000000"/>
        </w:rPr>
        <w:t>C</w:t>
      </w:r>
      <w:r w:rsidRPr="00072463">
        <w:rPr>
          <w:rFonts w:cs="Verdana"/>
          <w:color w:val="000000"/>
        </w:rPr>
        <w:t xml:space="preserve"> = kryterium cena wyliczane wg wzoru:</w:t>
      </w:r>
    </w:p>
    <w:p w:rsidR="00072463" w:rsidRDefault="00072463" w:rsidP="00DB3C20">
      <w:pPr>
        <w:spacing w:before="30" w:after="30" w:line="336" w:lineRule="auto"/>
        <w:ind w:left="567"/>
        <w:jc w:val="both"/>
      </w:pPr>
    </w:p>
    <w:p w:rsidR="00072463" w:rsidRPr="00072463" w:rsidRDefault="00072463" w:rsidP="00DB3C20">
      <w:pPr>
        <w:spacing w:before="30" w:after="30" w:line="336" w:lineRule="auto"/>
        <w:ind w:left="567"/>
        <w:jc w:val="both"/>
      </w:pPr>
    </w:p>
    <w:tbl>
      <w:tblPr>
        <w:tblW w:w="6715" w:type="dxa"/>
        <w:tblInd w:w="70" w:type="dxa"/>
        <w:tblCellMar>
          <w:left w:w="70" w:type="dxa"/>
          <w:right w:w="70" w:type="dxa"/>
        </w:tblCellMar>
        <w:tblLook w:val="04A0" w:firstRow="1" w:lastRow="0" w:firstColumn="1" w:lastColumn="0" w:noHBand="0" w:noVBand="1"/>
      </w:tblPr>
      <w:tblGrid>
        <w:gridCol w:w="6715"/>
      </w:tblGrid>
      <w:tr w:rsidR="00DB3C20" w:rsidRPr="00072463" w:rsidTr="005867D3">
        <w:trPr>
          <w:trHeight w:val="491"/>
        </w:trPr>
        <w:tc>
          <w:tcPr>
            <w:tcW w:w="6715" w:type="dxa"/>
            <w:shd w:val="clear" w:color="auto" w:fill="auto"/>
          </w:tcPr>
          <w:p w:rsidR="00DB3C20" w:rsidRPr="00072463" w:rsidRDefault="00DB3C20" w:rsidP="005867D3">
            <w:pPr>
              <w:spacing w:before="30" w:after="30"/>
              <w:ind w:left="283" w:hanging="283"/>
              <w:jc w:val="center"/>
            </w:pPr>
            <w:r w:rsidRPr="00072463">
              <w:rPr>
                <w:rFonts w:cs="Verdana"/>
                <w:color w:val="000000"/>
              </w:rPr>
              <w:t>Cena najniższa</w:t>
            </w:r>
          </w:p>
          <w:p w:rsidR="00DB3C20" w:rsidRPr="00072463" w:rsidRDefault="00DB3C20" w:rsidP="005867D3">
            <w:pPr>
              <w:pStyle w:val="Nagwek81"/>
              <w:spacing w:before="30" w:after="30"/>
              <w:ind w:left="524"/>
              <w:jc w:val="center"/>
              <w:rPr>
                <w:rFonts w:asciiTheme="minorHAnsi" w:hAnsiTheme="minorHAnsi" w:cs="Verdana"/>
                <w:sz w:val="22"/>
                <w:u w:val="none"/>
              </w:rPr>
            </w:pPr>
            <w:r w:rsidRPr="00072463">
              <w:rPr>
                <w:rFonts w:asciiTheme="minorHAnsi" w:hAnsiTheme="minorHAnsi" w:cs="Verdana"/>
                <w:sz w:val="22"/>
                <w:u w:val="none"/>
              </w:rPr>
              <w:t>C   =     ---------------------------- x 60% x 100</w:t>
            </w:r>
          </w:p>
          <w:p w:rsidR="00DB3C20" w:rsidRPr="00072463" w:rsidRDefault="00DB3C20" w:rsidP="005867D3">
            <w:pPr>
              <w:pStyle w:val="Nagwek71"/>
              <w:spacing w:before="30" w:after="30"/>
              <w:ind w:left="704"/>
              <w:rPr>
                <w:rFonts w:asciiTheme="minorHAnsi" w:hAnsiTheme="minorHAnsi"/>
              </w:rPr>
            </w:pPr>
            <w:r w:rsidRPr="00072463">
              <w:rPr>
                <w:rFonts w:asciiTheme="minorHAnsi" w:hAnsiTheme="minorHAnsi"/>
                <w:b w:val="0"/>
                <w:bCs w:val="0"/>
                <w:u w:val="none"/>
              </w:rPr>
              <w:t>Cena badanej oferty</w:t>
            </w:r>
          </w:p>
        </w:tc>
      </w:tr>
    </w:tbl>
    <w:p w:rsidR="00DB3C20" w:rsidRPr="00E34B9B" w:rsidRDefault="00DB3C20" w:rsidP="00DB3C20">
      <w:pPr>
        <w:pStyle w:val="DocumentMap"/>
        <w:jc w:val="both"/>
        <w:rPr>
          <w:rStyle w:val="apple-converted-space"/>
          <w:rFonts w:asciiTheme="minorHAnsi" w:eastAsiaTheme="majorEastAsia" w:hAnsiTheme="minorHAnsi"/>
          <w:b/>
          <w:sz w:val="22"/>
          <w:szCs w:val="22"/>
        </w:rPr>
      </w:pPr>
      <w:r w:rsidRPr="00072463">
        <w:rPr>
          <w:rStyle w:val="apple-converted-space"/>
          <w:rFonts w:asciiTheme="minorHAnsi" w:eastAsiaTheme="majorEastAsia" w:hAnsiTheme="minorHAnsi"/>
          <w:sz w:val="22"/>
          <w:szCs w:val="22"/>
        </w:rPr>
        <w:t xml:space="preserve">2. </w:t>
      </w:r>
      <w:r w:rsidRPr="00E34B9B">
        <w:rPr>
          <w:rStyle w:val="apple-converted-space"/>
          <w:rFonts w:asciiTheme="minorHAnsi" w:eastAsiaTheme="majorEastAsia" w:hAnsiTheme="minorHAnsi"/>
          <w:b/>
          <w:sz w:val="22"/>
          <w:szCs w:val="22"/>
        </w:rPr>
        <w:t>Okres udzielonej gwarancji</w:t>
      </w:r>
      <w:r w:rsidRPr="00E34B9B">
        <w:rPr>
          <w:rStyle w:val="apple-converted-space"/>
          <w:rFonts w:asciiTheme="minorHAnsi" w:eastAsiaTheme="majorEastAsia" w:hAnsiTheme="minorHAnsi"/>
          <w:sz w:val="22"/>
          <w:szCs w:val="22"/>
        </w:rPr>
        <w:t xml:space="preserve"> </w:t>
      </w:r>
      <w:r w:rsidR="0036116F" w:rsidRPr="00E34B9B">
        <w:rPr>
          <w:rStyle w:val="apple-converted-space"/>
          <w:rFonts w:asciiTheme="minorHAnsi" w:eastAsiaTheme="majorEastAsia" w:hAnsiTheme="minorHAnsi"/>
          <w:b/>
          <w:sz w:val="22"/>
          <w:szCs w:val="22"/>
        </w:rPr>
        <w:t xml:space="preserve">na </w:t>
      </w:r>
      <w:r w:rsidR="00E34B9B" w:rsidRPr="00E34B9B">
        <w:rPr>
          <w:rStyle w:val="apple-converted-space"/>
          <w:rFonts w:asciiTheme="minorHAnsi" w:eastAsiaTheme="majorEastAsia" w:hAnsiTheme="minorHAnsi"/>
          <w:b/>
          <w:sz w:val="22"/>
          <w:szCs w:val="22"/>
        </w:rPr>
        <w:t>dostarczony sprzęt (</w:t>
      </w:r>
      <w:r w:rsidR="00E34B9B" w:rsidRPr="00E34B9B">
        <w:rPr>
          <w:rFonts w:ascii="Calibri" w:hAnsi="Calibri" w:cs="Calibri"/>
          <w:b/>
          <w:color w:val="auto"/>
          <w:sz w:val="22"/>
          <w:szCs w:val="22"/>
        </w:rPr>
        <w:t>z wyłączeniem baterii radiotelefonów nasobnych)</w:t>
      </w:r>
      <w:r w:rsidRPr="00E34B9B">
        <w:rPr>
          <w:rStyle w:val="apple-converted-space"/>
          <w:rFonts w:asciiTheme="minorHAnsi" w:eastAsiaTheme="majorEastAsia" w:hAnsiTheme="minorHAnsi"/>
          <w:b/>
          <w:color w:val="auto"/>
          <w:sz w:val="22"/>
          <w:szCs w:val="22"/>
        </w:rPr>
        <w:t xml:space="preserve"> </w:t>
      </w:r>
      <w:r w:rsidRPr="00E34B9B">
        <w:rPr>
          <w:rStyle w:val="apple-converted-space"/>
          <w:rFonts w:asciiTheme="minorHAnsi" w:eastAsiaTheme="majorEastAsia" w:hAnsiTheme="minorHAnsi"/>
          <w:b/>
          <w:sz w:val="22"/>
          <w:szCs w:val="22"/>
        </w:rPr>
        <w:t xml:space="preserve">– waga 40 % - maksymalnie Wykonawca może otrzymać 40 punktów </w:t>
      </w:r>
    </w:p>
    <w:p w:rsidR="00DB3C20" w:rsidRPr="00072463" w:rsidRDefault="00DB3C20" w:rsidP="00DB3C20">
      <w:pPr>
        <w:pStyle w:val="DocumentMap"/>
        <w:rPr>
          <w:rStyle w:val="apple-converted-space"/>
          <w:rFonts w:asciiTheme="minorHAnsi" w:eastAsiaTheme="majorEastAsia" w:hAnsiTheme="minorHAnsi"/>
          <w:sz w:val="22"/>
          <w:szCs w:val="22"/>
        </w:rPr>
      </w:pPr>
      <w:r w:rsidRPr="00072463">
        <w:rPr>
          <w:rStyle w:val="apple-converted-space"/>
          <w:rFonts w:asciiTheme="minorHAnsi" w:eastAsiaTheme="majorEastAsia" w:hAnsiTheme="minorHAnsi"/>
          <w:sz w:val="22"/>
          <w:szCs w:val="22"/>
        </w:rPr>
        <w:t>Sposób obliczania (przyznania)  punktów w odniesieniu do kryterium gwarancji:</w:t>
      </w:r>
    </w:p>
    <w:p w:rsidR="00DB3C20" w:rsidRPr="00072463" w:rsidRDefault="00DB3C20" w:rsidP="00DB3C20">
      <w:pPr>
        <w:pStyle w:val="DocumentMap"/>
        <w:rPr>
          <w:rStyle w:val="apple-converted-space"/>
          <w:rFonts w:asciiTheme="minorHAnsi" w:eastAsia="Verdana" w:hAnsiTheme="minorHAnsi"/>
          <w:sz w:val="22"/>
          <w:szCs w:val="22"/>
        </w:rPr>
      </w:pPr>
      <w:r w:rsidRPr="00072463">
        <w:rPr>
          <w:rStyle w:val="apple-converted-space"/>
          <w:rFonts w:asciiTheme="minorHAnsi" w:eastAsia="Verdana" w:hAnsiTheme="minorHAnsi"/>
          <w:sz w:val="22"/>
          <w:szCs w:val="22"/>
        </w:rPr>
        <w:t xml:space="preserve"> </w:t>
      </w:r>
    </w:p>
    <w:p w:rsidR="00DB3C20" w:rsidRPr="00072463" w:rsidRDefault="00DB3C20" w:rsidP="00DB3C20">
      <w:pPr>
        <w:spacing w:before="30" w:after="30" w:line="336" w:lineRule="auto"/>
        <w:ind w:left="567"/>
        <w:jc w:val="center"/>
      </w:pPr>
      <w:r w:rsidRPr="00072463">
        <w:rPr>
          <w:rFonts w:cs="Verdana"/>
          <w:b/>
          <w:color w:val="000000"/>
        </w:rPr>
        <w:t>G</w:t>
      </w:r>
      <w:r w:rsidRPr="00072463">
        <w:rPr>
          <w:rFonts w:cs="Verdana"/>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DB3C20" w:rsidRPr="00072463" w:rsidTr="005867D3">
        <w:trPr>
          <w:trHeight w:val="757"/>
        </w:trPr>
        <w:tc>
          <w:tcPr>
            <w:tcW w:w="7770" w:type="dxa"/>
            <w:shd w:val="clear" w:color="auto" w:fill="auto"/>
          </w:tcPr>
          <w:p w:rsidR="00DB3C20" w:rsidRPr="00072463" w:rsidRDefault="00DB3C20" w:rsidP="005867D3">
            <w:pPr>
              <w:spacing w:before="30" w:after="30"/>
              <w:ind w:left="283" w:hanging="283"/>
              <w:jc w:val="center"/>
            </w:pPr>
            <w:r w:rsidRPr="00072463">
              <w:rPr>
                <w:rFonts w:cs="Verdana"/>
                <w:color w:val="000000"/>
              </w:rPr>
              <w:lastRenderedPageBreak/>
              <w:t>Okres udzielonej gwarancji w badanej ofercie  (m-ce)</w:t>
            </w:r>
          </w:p>
          <w:p w:rsidR="00DB3C20" w:rsidRPr="00072463" w:rsidRDefault="00DB3C20" w:rsidP="005867D3">
            <w:pPr>
              <w:spacing w:before="30" w:after="30"/>
              <w:ind w:left="283" w:hanging="283"/>
              <w:jc w:val="center"/>
              <w:rPr>
                <w:rFonts w:cs="Verdana"/>
              </w:rPr>
            </w:pPr>
            <w:r w:rsidRPr="00072463">
              <w:rPr>
                <w:rFonts w:cs="Verdana"/>
              </w:rPr>
              <w:t>G   =     --------------------------------------------------------------- x 40% x 100</w:t>
            </w:r>
          </w:p>
          <w:p w:rsidR="00DB3C20" w:rsidRPr="00072463" w:rsidRDefault="00E34B9B" w:rsidP="005867D3">
            <w:pPr>
              <w:pStyle w:val="Nagwek71"/>
              <w:spacing w:before="30" w:after="30"/>
              <w:ind w:left="704"/>
              <w:rPr>
                <w:rFonts w:asciiTheme="minorHAnsi" w:hAnsiTheme="minorHAnsi"/>
              </w:rPr>
            </w:pPr>
            <w:r>
              <w:rPr>
                <w:rFonts w:asciiTheme="minorHAnsi" w:eastAsia="Tahoma" w:hAnsiTheme="minorHAnsi"/>
                <w:b w:val="0"/>
                <w:bCs w:val="0"/>
                <w:u w:val="none"/>
              </w:rPr>
              <w:t>60</w:t>
            </w:r>
            <w:r w:rsidR="00DB3C20" w:rsidRPr="00072463">
              <w:rPr>
                <w:rFonts w:asciiTheme="minorHAnsi" w:hAnsiTheme="minorHAnsi"/>
                <w:b w:val="0"/>
                <w:bCs w:val="0"/>
                <w:u w:val="none"/>
              </w:rPr>
              <w:t xml:space="preserve"> (m-cy) Maksymalny okres gwarancji</w:t>
            </w:r>
          </w:p>
        </w:tc>
      </w:tr>
    </w:tbl>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Minimalny okres udzielonej gwarancji –</w:t>
      </w:r>
      <w:r w:rsidR="00B47B49">
        <w:rPr>
          <w:rFonts w:asciiTheme="minorHAnsi" w:hAnsiTheme="minorHAnsi"/>
          <w:sz w:val="22"/>
          <w:szCs w:val="22"/>
        </w:rPr>
        <w:t xml:space="preserve">36 </w:t>
      </w:r>
      <w:r w:rsidRPr="00072463">
        <w:rPr>
          <w:rFonts w:asciiTheme="minorHAnsi" w:hAnsiTheme="minorHAnsi"/>
          <w:sz w:val="22"/>
          <w:szCs w:val="22"/>
        </w:rPr>
        <w:t>miesięcy</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Maksymalny okres udzielonej gwarancji – </w:t>
      </w:r>
      <w:r w:rsidR="00B47B49">
        <w:rPr>
          <w:rFonts w:asciiTheme="minorHAnsi" w:hAnsiTheme="minorHAnsi"/>
          <w:sz w:val="22"/>
          <w:szCs w:val="22"/>
        </w:rPr>
        <w:t>60</w:t>
      </w:r>
      <w:r w:rsidRPr="00072463">
        <w:rPr>
          <w:rFonts w:asciiTheme="minorHAnsi" w:hAnsiTheme="minorHAnsi"/>
          <w:sz w:val="22"/>
          <w:szCs w:val="22"/>
        </w:rPr>
        <w:t xml:space="preserve"> </w:t>
      </w:r>
      <w:r w:rsidR="00B47B49" w:rsidRPr="00072463">
        <w:rPr>
          <w:rFonts w:asciiTheme="minorHAnsi" w:hAnsiTheme="minorHAnsi"/>
          <w:sz w:val="22"/>
          <w:szCs w:val="22"/>
        </w:rPr>
        <w:t>miesięcy</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bCs/>
          <w:sz w:val="22"/>
          <w:szCs w:val="22"/>
        </w:rPr>
        <w:t>2.</w:t>
      </w:r>
      <w:r w:rsidRPr="00072463">
        <w:rPr>
          <w:rFonts w:asciiTheme="minorHAnsi" w:hAnsiTheme="minorHAnsi"/>
          <w:sz w:val="22"/>
          <w:szCs w:val="22"/>
        </w:rPr>
        <w:t xml:space="preserve">1. Zamawiający w niniejszym postępowaniu określił minimalny okres gwarancji, który wynosi </w:t>
      </w:r>
      <w:r w:rsidR="00B47B49">
        <w:rPr>
          <w:rFonts w:asciiTheme="minorHAnsi" w:hAnsiTheme="minorHAnsi"/>
          <w:sz w:val="22"/>
          <w:szCs w:val="22"/>
        </w:rPr>
        <w:t>36</w:t>
      </w:r>
      <w:r w:rsidRPr="00072463">
        <w:rPr>
          <w:rFonts w:asciiTheme="minorHAnsi" w:hAnsiTheme="minorHAnsi"/>
          <w:sz w:val="22"/>
          <w:szCs w:val="22"/>
        </w:rPr>
        <w:t xml:space="preserve"> miesięcy (warunek konieczny) oraz maksymalny okres gwarancji, który wynosi </w:t>
      </w:r>
      <w:r w:rsidR="00B47B49">
        <w:rPr>
          <w:rFonts w:asciiTheme="minorHAnsi" w:hAnsiTheme="minorHAnsi"/>
          <w:sz w:val="22"/>
          <w:szCs w:val="22"/>
        </w:rPr>
        <w:t xml:space="preserve">60 </w:t>
      </w:r>
      <w:r w:rsidR="00B47B49" w:rsidRPr="00072463">
        <w:rPr>
          <w:rFonts w:asciiTheme="minorHAnsi" w:hAnsiTheme="minorHAnsi"/>
          <w:sz w:val="22"/>
          <w:szCs w:val="22"/>
        </w:rPr>
        <w:t>miesięcy</w:t>
      </w:r>
      <w:r w:rsidRPr="00072463">
        <w:rPr>
          <w:rFonts w:asciiTheme="minorHAnsi" w:hAnsiTheme="minorHAnsi"/>
          <w:sz w:val="22"/>
          <w:szCs w:val="22"/>
        </w:rPr>
        <w:t xml:space="preserve">. </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2.3. W przypadku zaoferowania okresu gwarancji krótszego niż </w:t>
      </w:r>
      <w:r w:rsidR="00B47B49">
        <w:rPr>
          <w:rFonts w:asciiTheme="minorHAnsi" w:hAnsiTheme="minorHAnsi"/>
          <w:sz w:val="22"/>
          <w:szCs w:val="22"/>
        </w:rPr>
        <w:t>36</w:t>
      </w:r>
      <w:r w:rsidRPr="00072463">
        <w:rPr>
          <w:rFonts w:asciiTheme="minorHAnsi" w:hAnsiTheme="minorHAnsi"/>
          <w:sz w:val="22"/>
          <w:szCs w:val="22"/>
        </w:rPr>
        <w:t xml:space="preserve"> miesięcy, Zamawiający odrzuci ofertę Wykonawcy.</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2.4. W przypadku, gdy Wykonawca nie wskaże w ofercie okresu gwarancji, Zamawiający przyjmie, iż okres ten jest równy minimalnym wymaganiom określonym w SWZ  i załącznikach, tj. </w:t>
      </w:r>
      <w:r w:rsidR="00B47B49">
        <w:rPr>
          <w:rFonts w:asciiTheme="minorHAnsi" w:hAnsiTheme="minorHAnsi"/>
          <w:sz w:val="22"/>
          <w:szCs w:val="22"/>
        </w:rPr>
        <w:t>36</w:t>
      </w:r>
      <w:r w:rsidRPr="00072463">
        <w:rPr>
          <w:rFonts w:asciiTheme="minorHAnsi" w:hAnsiTheme="minorHAnsi"/>
          <w:sz w:val="22"/>
          <w:szCs w:val="22"/>
        </w:rPr>
        <w:t xml:space="preserve">  miesięcy.</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2.5. W przypadku zaoferowania okresu gwarancji dłuższego niż </w:t>
      </w:r>
      <w:r w:rsidR="00B47B49">
        <w:rPr>
          <w:rFonts w:asciiTheme="minorHAnsi" w:hAnsiTheme="minorHAnsi"/>
          <w:sz w:val="22"/>
          <w:szCs w:val="22"/>
        </w:rPr>
        <w:t>60miesięcy</w:t>
      </w:r>
      <w:r w:rsidRPr="00072463">
        <w:rPr>
          <w:rFonts w:asciiTheme="minorHAnsi" w:hAnsiTheme="minorHAnsi"/>
          <w:sz w:val="22"/>
          <w:szCs w:val="22"/>
        </w:rPr>
        <w:t xml:space="preserve">, Zamawiający przyjmie do obliczenia punktów okres maksymalny, tj. </w:t>
      </w:r>
      <w:r w:rsidR="00B47B49">
        <w:rPr>
          <w:rFonts w:asciiTheme="minorHAnsi" w:hAnsiTheme="minorHAnsi"/>
          <w:sz w:val="22"/>
          <w:szCs w:val="22"/>
        </w:rPr>
        <w:t>60 miesięcy</w:t>
      </w:r>
      <w:r w:rsidRPr="00072463">
        <w:rPr>
          <w:rFonts w:asciiTheme="minorHAnsi" w:hAnsiTheme="minorHAnsi"/>
          <w:sz w:val="22"/>
          <w:szCs w:val="22"/>
        </w:rPr>
        <w:t xml:space="preserve">, jednakże okres gwarancji zaoferowany przez Wykonawcę zostanie wpisany do umowy. </w:t>
      </w:r>
    </w:p>
    <w:p w:rsidR="00DB3C20" w:rsidRPr="00072463" w:rsidRDefault="00DB3C20" w:rsidP="00DB3C20">
      <w:pPr>
        <w:pStyle w:val="DocumentMap"/>
        <w:jc w:val="both"/>
        <w:rPr>
          <w:rFonts w:asciiTheme="minorHAnsi" w:hAnsiTheme="minorHAnsi"/>
          <w:sz w:val="22"/>
          <w:szCs w:val="22"/>
        </w:rPr>
      </w:pPr>
      <w:r w:rsidRPr="00072463">
        <w:rPr>
          <w:rFonts w:asciiTheme="minorHAnsi" w:hAnsiTheme="minorHAnsi"/>
          <w:sz w:val="22"/>
          <w:szCs w:val="22"/>
        </w:rPr>
        <w:t xml:space="preserve">3. Zamawiający informuje, że przyznając punkty będzie kierował się zasadą: 1% = 1 punkt </w:t>
      </w:r>
    </w:p>
    <w:p w:rsidR="00DB3C20" w:rsidRPr="00072463" w:rsidRDefault="00DB3C20" w:rsidP="00DB3C20">
      <w:pPr>
        <w:pStyle w:val="DocumentMap"/>
        <w:jc w:val="both"/>
        <w:rPr>
          <w:rFonts w:asciiTheme="minorHAnsi" w:hAnsiTheme="minorHAnsi" w:cs="Tahoma"/>
          <w:sz w:val="22"/>
          <w:szCs w:val="22"/>
        </w:rPr>
      </w:pPr>
      <w:r w:rsidRPr="00072463">
        <w:rPr>
          <w:rFonts w:asciiTheme="minorHAnsi" w:hAnsiTheme="minorHAnsi" w:cs="Tahoma"/>
          <w:sz w:val="22"/>
          <w:szCs w:val="22"/>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E25589" w:rsidRPr="00655FE0" w:rsidRDefault="0036116F" w:rsidP="00E25589">
      <w:pPr>
        <w:pStyle w:val="Bezodstpw"/>
        <w:ind w:right="-142"/>
        <w:jc w:val="both"/>
        <w:rPr>
          <w:rFonts w:cs="Calibri"/>
        </w:rPr>
      </w:pPr>
      <w:r>
        <w:rPr>
          <w:rFonts w:cs="Calibri"/>
        </w:rPr>
        <w:t>5</w:t>
      </w:r>
      <w:r w:rsidR="00E25589" w:rsidRPr="00655FE0">
        <w:rPr>
          <w:rFonts w:cs="Calibri"/>
        </w:rPr>
        <w:t>. Zamawiający wybiera najkorzystniejszą ofertę w terminie związania ofertą określonym w SWZ.</w:t>
      </w:r>
    </w:p>
    <w:p w:rsidR="00E25589" w:rsidRPr="00655FE0" w:rsidRDefault="0036116F" w:rsidP="00E25589">
      <w:pPr>
        <w:pStyle w:val="Bezodstpw"/>
        <w:ind w:right="-142"/>
        <w:jc w:val="both"/>
        <w:rPr>
          <w:rFonts w:cs="Calibri"/>
        </w:rPr>
      </w:pPr>
      <w:r>
        <w:rPr>
          <w:rFonts w:cs="Calibri"/>
        </w:rPr>
        <w:t>5</w:t>
      </w:r>
      <w:r w:rsidR="00E25589">
        <w:rPr>
          <w:rFonts w:cs="Calibri"/>
        </w:rPr>
        <w:t>.1.</w:t>
      </w:r>
      <w:r w:rsidR="00E25589" w:rsidRPr="00655FE0">
        <w:rPr>
          <w:rFonts w:cs="Calibri"/>
        </w:rPr>
        <w:t xml:space="preserve"> Jeżeli termin związania ofertą upłynie przed wyborem najkorzystniejszej oferty, Zamawiający wezwie Wykonawcę, którego oferta otrzymała najwyższa oceną, do wyrażenia, w wyznaczonym przez Zamawiającego terminie, pisemnej zgody na wybór jego oferty.</w:t>
      </w:r>
    </w:p>
    <w:p w:rsidR="00E25589" w:rsidRPr="00655FE0" w:rsidRDefault="0036116F" w:rsidP="00E25589">
      <w:pPr>
        <w:pStyle w:val="Bezodstpw"/>
        <w:ind w:right="-142"/>
        <w:jc w:val="both"/>
        <w:rPr>
          <w:rFonts w:cs="Calibri"/>
        </w:rPr>
      </w:pPr>
      <w:r>
        <w:rPr>
          <w:rFonts w:cs="Calibri"/>
        </w:rPr>
        <w:t>5</w:t>
      </w:r>
      <w:r w:rsidR="00E25589">
        <w:rPr>
          <w:rFonts w:cs="Calibri"/>
        </w:rPr>
        <w:t>.2</w:t>
      </w:r>
      <w:r w:rsidR="00E25589" w:rsidRPr="00655FE0">
        <w:rPr>
          <w:rFonts w:cs="Calibri"/>
        </w:rPr>
        <w:t xml:space="preserve">. W przypadku braku zgody, o której mowa w pkt </w:t>
      </w:r>
      <w:r w:rsidR="00072463">
        <w:rPr>
          <w:rFonts w:cs="Calibri"/>
        </w:rPr>
        <w:t>5</w:t>
      </w:r>
      <w:r w:rsidR="00E25589">
        <w:rPr>
          <w:rFonts w:cs="Calibri"/>
        </w:rPr>
        <w:t>.1</w:t>
      </w:r>
      <w:r w:rsidR="00E25589" w:rsidRPr="00655FE0">
        <w:rPr>
          <w:rFonts w:cs="Calibri"/>
        </w:rPr>
        <w:t>, oferta podlega odrzuceniu, a Zamawiający zwraca sią o wyrażenie takiej zgody do kolejnego Wykonawcy, którego oferta została najwyżej oceniona, chyba ze zachodzą przesłanki do unieważnienia postępowania.</w:t>
      </w:r>
    </w:p>
    <w:p w:rsidR="00E25589" w:rsidRPr="00C4491E" w:rsidRDefault="00072463" w:rsidP="00E25589">
      <w:pPr>
        <w:pStyle w:val="Bezodstpw"/>
        <w:ind w:right="-142"/>
        <w:jc w:val="both"/>
      </w:pPr>
      <w:r>
        <w:rPr>
          <w:color w:val="000000" w:themeColor="text1"/>
        </w:rPr>
        <w:t>6</w:t>
      </w:r>
      <w:r w:rsidR="00E25589" w:rsidRPr="00787D76">
        <w:rPr>
          <w:color w:val="000000" w:themeColor="text1"/>
        </w:rPr>
        <w:t>. Niezwłocznie po wyborze najkorzystniejszej oferty Zamawiający informuje równocześnie wszystkich wykonawców, którzy złożyli oferty o:</w:t>
      </w:r>
    </w:p>
    <w:p w:rsidR="00E25589" w:rsidRPr="00787D76" w:rsidRDefault="00E25589" w:rsidP="00E25589">
      <w:pPr>
        <w:pStyle w:val="Bezodstpw"/>
        <w:ind w:right="-142"/>
        <w:jc w:val="both"/>
        <w:rPr>
          <w:b/>
          <w:color w:val="000000" w:themeColor="text1"/>
        </w:rPr>
      </w:pPr>
      <w:r w:rsidRPr="00787D76">
        <w:rPr>
          <w:color w:val="000000" w:themeColor="text1"/>
        </w:rPr>
        <w:t>a. wyborze najkorzystniejszej oferty, podając  nazwę albo imię i nazwisko, siedzibę albo miejsce zamieszkania, jeżeli jest miejscem wyk</w:t>
      </w:r>
      <w:r>
        <w:rPr>
          <w:color w:val="000000" w:themeColor="text1"/>
        </w:rPr>
        <w:t>onywania działalności wykonawcy</w:t>
      </w:r>
      <w:r w:rsidRPr="00787D76">
        <w:rPr>
          <w:color w:val="000000" w:themeColor="text1"/>
        </w:rPr>
        <w:t xml:space="preserve">, którego ofertę wybrano, oraz nazwy albo imiona i nazwiska, siedziby albo miejsca zamieszkania, jeżeli są miejscami wykonywania działalności wykonawców, którzy złożyli oferty, a także </w:t>
      </w:r>
      <w:r>
        <w:rPr>
          <w:color w:val="000000" w:themeColor="text1"/>
        </w:rPr>
        <w:t>zaoferowane ceny,</w:t>
      </w:r>
    </w:p>
    <w:p w:rsidR="00E25589" w:rsidRPr="00787D76" w:rsidRDefault="00E25589" w:rsidP="00E25589">
      <w:pPr>
        <w:pStyle w:val="Bezodstpw"/>
        <w:ind w:right="-142"/>
        <w:jc w:val="both"/>
        <w:rPr>
          <w:color w:val="000000" w:themeColor="text1"/>
        </w:rPr>
      </w:pPr>
      <w:r w:rsidRPr="00787D76">
        <w:rPr>
          <w:color w:val="000000" w:themeColor="text1"/>
        </w:rPr>
        <w:t>b. wykonawcach, których oferty zostały odrzucone</w:t>
      </w:r>
    </w:p>
    <w:p w:rsidR="00E25589" w:rsidRPr="00787D76" w:rsidRDefault="00E25589" w:rsidP="00E25589">
      <w:pPr>
        <w:pStyle w:val="Bezodstpw"/>
        <w:ind w:right="-142"/>
        <w:jc w:val="both"/>
        <w:rPr>
          <w:color w:val="000000" w:themeColor="text1"/>
        </w:rPr>
      </w:pPr>
      <w:r w:rsidRPr="00787D76">
        <w:rPr>
          <w:color w:val="000000" w:themeColor="text1"/>
        </w:rPr>
        <w:t xml:space="preserve"> - podając uzasadnienie faktyczne i prawne. </w:t>
      </w:r>
    </w:p>
    <w:p w:rsidR="00E25589" w:rsidRPr="00787D76" w:rsidRDefault="00E25589" w:rsidP="00E25589">
      <w:pPr>
        <w:pStyle w:val="Bezodstpw"/>
        <w:jc w:val="both"/>
        <w:rPr>
          <w:color w:val="000000" w:themeColor="text1"/>
        </w:rPr>
      </w:pPr>
      <w:r w:rsidRPr="00787D76">
        <w:rPr>
          <w:color w:val="000000" w:themeColor="text1"/>
        </w:rPr>
        <w:t>Informację o wyborze oferty najkorzystniejszej Zamawiający niezwłocznie udostępni na stronie internetowej prowadzonego postępowania</w:t>
      </w:r>
      <w:r>
        <w:rPr>
          <w:color w:val="FF0000"/>
        </w:rPr>
        <w:t xml:space="preserve"> </w:t>
      </w:r>
      <w:hyperlink r:id="rId36" w:history="1">
        <w:r w:rsidRPr="00A81CE4">
          <w:rPr>
            <w:rStyle w:val="Hipercze"/>
            <w:rFonts w:cs="Arial"/>
          </w:rPr>
          <w:t>https://platformazakupowa.pl/pn/kwp_wroclaw</w:t>
        </w:r>
      </w:hyperlink>
      <w:r w:rsidRPr="00787D76">
        <w:rPr>
          <w:color w:val="000000" w:themeColor="text1"/>
        </w:rPr>
        <w:t xml:space="preserve">, z zastrzeżeniem art. 253 ust. 3. </w:t>
      </w:r>
    </w:p>
    <w:p w:rsidR="00E25589" w:rsidRPr="009F56BA" w:rsidRDefault="00072463" w:rsidP="00E25589">
      <w:pPr>
        <w:pStyle w:val="Bezodstpw"/>
        <w:jc w:val="both"/>
        <w:rPr>
          <w:b/>
        </w:rPr>
      </w:pPr>
      <w:r>
        <w:rPr>
          <w:b/>
        </w:rPr>
        <w:t>7</w:t>
      </w:r>
      <w:r w:rsidR="00E25589" w:rsidRPr="009F56BA">
        <w:rPr>
          <w:b/>
        </w:rPr>
        <w:t>. Zamawiający odrzuci ofertę, jeżeli:</w:t>
      </w:r>
    </w:p>
    <w:p w:rsidR="00E25589" w:rsidRPr="0069754A" w:rsidRDefault="00072463" w:rsidP="00E25589">
      <w:pPr>
        <w:pStyle w:val="Bezodstpw"/>
        <w:jc w:val="both"/>
      </w:pPr>
      <w:r>
        <w:t>7</w:t>
      </w:r>
      <w:r w:rsidR="00E25589">
        <w:t>.1.</w:t>
      </w:r>
      <w:r w:rsidR="00E25589" w:rsidRPr="0069754A">
        <w:t xml:space="preserve"> została złożona po terminie składania ofert;</w:t>
      </w:r>
    </w:p>
    <w:p w:rsidR="00E25589" w:rsidRPr="0069754A" w:rsidRDefault="00072463" w:rsidP="00E25589">
      <w:pPr>
        <w:pStyle w:val="Bezodstpw"/>
        <w:jc w:val="both"/>
      </w:pPr>
      <w:r>
        <w:t>7</w:t>
      </w:r>
      <w:r w:rsidR="00E25589">
        <w:t>.2</w:t>
      </w:r>
      <w:r w:rsidR="00E25589" w:rsidRPr="0069754A">
        <w:t>. została złożona przez Wykonawcę:</w:t>
      </w:r>
    </w:p>
    <w:p w:rsidR="00E25589" w:rsidRPr="0069754A" w:rsidRDefault="00E25589" w:rsidP="00E25589">
      <w:pPr>
        <w:pStyle w:val="Bezodstpw"/>
        <w:jc w:val="both"/>
      </w:pPr>
      <w:r>
        <w:t>a</w:t>
      </w:r>
      <w:r w:rsidRPr="0069754A">
        <w:t>. podlegającego wykluczeniu z postępowania lub</w:t>
      </w:r>
    </w:p>
    <w:p w:rsidR="00E25589" w:rsidRDefault="00E25589" w:rsidP="00E25589">
      <w:pPr>
        <w:pStyle w:val="Bezodstpw"/>
        <w:jc w:val="both"/>
      </w:pPr>
      <w:r>
        <w:t>b</w:t>
      </w:r>
      <w:r w:rsidRPr="0069754A">
        <w:t>. niespełniającego warun</w:t>
      </w:r>
      <w:r>
        <w:t xml:space="preserve">ków udziału w postępowaniu, lub </w:t>
      </w:r>
    </w:p>
    <w:p w:rsidR="00E25589" w:rsidRPr="0069754A" w:rsidRDefault="00E25589" w:rsidP="00E25589">
      <w:pPr>
        <w:pStyle w:val="Bezodstpw"/>
        <w:jc w:val="both"/>
      </w:pPr>
      <w:r>
        <w:t xml:space="preserve">c. </w:t>
      </w:r>
      <w:r w:rsidRPr="0069754A">
        <w:t>który nie złożył w przewidzianym terminie oświadczenia, o którym mowa w art. 125 ust. 1</w:t>
      </w:r>
      <w:r>
        <w:t xml:space="preserve"> (</w:t>
      </w:r>
      <w:r w:rsidRPr="0069754A">
        <w:rPr>
          <w:rFonts w:cs="TimesNewRomanPS-ItalicMT"/>
          <w:i/>
          <w:iCs/>
        </w:rPr>
        <w:t>oświadczenie wykonawcy o niepodleganiu wykluczeniu i spełnianiu warunków</w:t>
      </w:r>
      <w:r>
        <w:rPr>
          <w:rFonts w:cs="TimesNewRomanPS-ItalicMT"/>
          <w:i/>
          <w:iCs/>
        </w:rPr>
        <w:t xml:space="preserve"> </w:t>
      </w:r>
      <w:r w:rsidRPr="0069754A">
        <w:rPr>
          <w:rFonts w:cs="TimesNewRomanPS-ItalicMT"/>
          <w:i/>
          <w:iCs/>
        </w:rPr>
        <w:t>udziału w postępowaniu</w:t>
      </w:r>
      <w:r>
        <w:rPr>
          <w:rFonts w:cs="TimesNewRomanPS-ItalicMT"/>
          <w:i/>
          <w:iCs/>
        </w:rPr>
        <w:t>)</w:t>
      </w:r>
      <w:r w:rsidRPr="0069754A">
        <w:t>, lub podmiotowego środka dowodowego, potwierdzających brak podstaw wykluczenia lub spełnianie warunków udziału w postępowaniu, przedmiotowego środka dowodowego, lub innych dokumentów lub oświadczeń;</w:t>
      </w:r>
    </w:p>
    <w:p w:rsidR="00E25589" w:rsidRPr="0069754A" w:rsidRDefault="00072463" w:rsidP="00E25589">
      <w:pPr>
        <w:pStyle w:val="Bezodstpw"/>
        <w:jc w:val="both"/>
      </w:pPr>
      <w:r>
        <w:t>7</w:t>
      </w:r>
      <w:r w:rsidR="00E25589">
        <w:t>.3</w:t>
      </w:r>
      <w:r w:rsidR="00E25589" w:rsidRPr="0069754A">
        <w:t>. jest niezgodna z przepisami ustawy;</w:t>
      </w:r>
    </w:p>
    <w:p w:rsidR="00E25589" w:rsidRPr="0069754A" w:rsidRDefault="00072463" w:rsidP="00E25589">
      <w:pPr>
        <w:pStyle w:val="Bezodstpw"/>
        <w:jc w:val="both"/>
      </w:pPr>
      <w:r>
        <w:lastRenderedPageBreak/>
        <w:t>7</w:t>
      </w:r>
      <w:r w:rsidR="00E25589">
        <w:t>.4</w:t>
      </w:r>
      <w:r w:rsidR="00E25589" w:rsidRPr="0069754A">
        <w:t>. jest nieważna na podstawie odrębnych przepisów;</w:t>
      </w:r>
    </w:p>
    <w:p w:rsidR="00E25589" w:rsidRPr="0069754A" w:rsidRDefault="00072463" w:rsidP="00E25589">
      <w:pPr>
        <w:pStyle w:val="Bezodstpw"/>
        <w:jc w:val="both"/>
      </w:pPr>
      <w:r>
        <w:t>7</w:t>
      </w:r>
      <w:r w:rsidR="00E25589">
        <w:t>.5</w:t>
      </w:r>
      <w:r w:rsidR="00E25589" w:rsidRPr="0069754A">
        <w:t>. jej treść jest niezgodna z warunkami zamówienia;</w:t>
      </w:r>
    </w:p>
    <w:p w:rsidR="00E25589" w:rsidRPr="0069754A" w:rsidRDefault="00072463" w:rsidP="00E25589">
      <w:pPr>
        <w:pStyle w:val="Bezodstpw"/>
        <w:jc w:val="both"/>
      </w:pPr>
      <w:r>
        <w:t>7</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072463" w:rsidP="00E25589">
      <w:pPr>
        <w:pStyle w:val="Bezodstpw"/>
        <w:jc w:val="both"/>
      </w:pPr>
      <w:r>
        <w:t>7</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p>
    <w:p w:rsidR="00E25589" w:rsidRPr="0069754A" w:rsidRDefault="00072463" w:rsidP="00E25589">
      <w:pPr>
        <w:pStyle w:val="Bezodstpw"/>
        <w:jc w:val="both"/>
      </w:pPr>
      <w:r>
        <w:t>7</w:t>
      </w:r>
      <w:r w:rsidR="00E25589">
        <w:t>.8</w:t>
      </w:r>
      <w:r w:rsidR="00E25589" w:rsidRPr="0069754A">
        <w:t>. zawiera rażąco niską cenę lub koszt w stosunku do przedmiotu zamówienia;</w:t>
      </w:r>
    </w:p>
    <w:p w:rsidR="00E25589" w:rsidRPr="0069754A" w:rsidRDefault="00072463" w:rsidP="00E25589">
      <w:pPr>
        <w:pStyle w:val="Bezodstpw"/>
        <w:jc w:val="both"/>
      </w:pPr>
      <w:r>
        <w:t>7</w:t>
      </w:r>
      <w:r w:rsidR="00E25589">
        <w:t>.9</w:t>
      </w:r>
      <w:r w:rsidR="00E25589" w:rsidRPr="0069754A">
        <w:t>. została złożona przez wykonawcę niezaproszonego do składania ofert;</w:t>
      </w:r>
    </w:p>
    <w:p w:rsidR="00E25589" w:rsidRPr="0069754A" w:rsidRDefault="00072463" w:rsidP="00E25589">
      <w:pPr>
        <w:pStyle w:val="Bezodstpw"/>
        <w:jc w:val="both"/>
      </w:pPr>
      <w:r>
        <w:t>7</w:t>
      </w:r>
      <w:r w:rsidR="00E25589">
        <w:t>.10</w:t>
      </w:r>
      <w:r w:rsidR="00E25589" w:rsidRPr="0069754A">
        <w:t>. zawiera błędy w obliczeniu ceny lub kosztu;</w:t>
      </w:r>
    </w:p>
    <w:p w:rsidR="00E25589" w:rsidRPr="0069754A" w:rsidRDefault="00072463" w:rsidP="00E25589">
      <w:pPr>
        <w:pStyle w:val="Bezodstpw"/>
        <w:jc w:val="both"/>
      </w:pPr>
      <w:r>
        <w:t>7</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072463" w:rsidP="00E25589">
      <w:pPr>
        <w:pStyle w:val="Bezodstpw"/>
        <w:jc w:val="both"/>
      </w:pPr>
      <w:r>
        <w:t>7</w:t>
      </w:r>
      <w:r w:rsidR="00E25589">
        <w:t>.12</w:t>
      </w:r>
      <w:r w:rsidR="00E25589" w:rsidRPr="0069754A">
        <w:t>. wykonawca nie wyraził pisemnej zgody na przedłużenie terminu związania ofertą;</w:t>
      </w:r>
    </w:p>
    <w:p w:rsidR="00E25589" w:rsidRPr="0069754A" w:rsidRDefault="00072463" w:rsidP="00E25589">
      <w:pPr>
        <w:pStyle w:val="Bezodstpw"/>
        <w:jc w:val="both"/>
      </w:pPr>
      <w:r>
        <w:t>7</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072463" w:rsidP="00E25589">
      <w:pPr>
        <w:pStyle w:val="Bezodstpw"/>
        <w:jc w:val="both"/>
      </w:pPr>
      <w:r>
        <w:t>7</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wadium w przypadku, o którym mowa w art. 98 ust. 2 pkt 3 ustawy P</w:t>
      </w:r>
      <w:r w:rsidR="00E25589">
        <w:t>zp</w:t>
      </w:r>
      <w:r w:rsidR="00E25589" w:rsidRPr="0069754A">
        <w:t>;</w:t>
      </w:r>
    </w:p>
    <w:p w:rsidR="00E25589" w:rsidRPr="0069754A" w:rsidRDefault="00072463" w:rsidP="00E25589">
      <w:pPr>
        <w:pStyle w:val="Bezodstpw"/>
      </w:pPr>
      <w:r>
        <w:t>7</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072463" w:rsidP="00E25589">
      <w:pPr>
        <w:pStyle w:val="Bezodstpw"/>
        <w:jc w:val="both"/>
      </w:pPr>
      <w:r>
        <w:t>7</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69754A" w:rsidRDefault="00072463" w:rsidP="00E25589">
      <w:pPr>
        <w:pStyle w:val="Bezodstpw"/>
        <w:jc w:val="both"/>
      </w:pPr>
      <w:r>
        <w:t>7</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r w:rsidR="00E25589" w:rsidRPr="0069754A">
        <w:t xml:space="preserve">cyberbezpieczeństwa (Dz. U. </w:t>
      </w:r>
      <w:r w:rsidR="00203DF4">
        <w:t>z 201</w:t>
      </w:r>
      <w:r w:rsidR="000A309D">
        <w:t>3</w:t>
      </w:r>
      <w:r w:rsidR="00203DF4">
        <w:t xml:space="preserve"> r. </w:t>
      </w:r>
      <w:r w:rsidR="00E25589" w:rsidRPr="0069754A">
        <w:t xml:space="preserve">poz. </w:t>
      </w:r>
      <w:r w:rsidR="000A309D">
        <w:t>913</w:t>
      </w:r>
      <w:r w:rsidR="00E25589" w:rsidRPr="0069754A">
        <w:t>), stwier</w:t>
      </w:r>
      <w:r w:rsidR="00E25589">
        <w:t xml:space="preserve">dzającej ich negatywny wpływ na </w:t>
      </w:r>
      <w:r w:rsidR="00E25589" w:rsidRPr="0069754A">
        <w:t>bezpieczeństwo publiczne lub bezpieczeństwo narodowe;</w:t>
      </w:r>
    </w:p>
    <w:p w:rsidR="00E25589" w:rsidRDefault="00072463" w:rsidP="00E25589">
      <w:pPr>
        <w:pStyle w:val="Bezodstpw"/>
        <w:jc w:val="both"/>
      </w:pPr>
      <w:r>
        <w:t>7</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E25589"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3416AA" w:rsidRPr="007625CB" w:rsidRDefault="003416AA"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lastRenderedPageBreak/>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25589" w:rsidRPr="007625CB" w:rsidRDefault="00E25589" w:rsidP="00E25589">
      <w:pPr>
        <w:pStyle w:val="Bezodstpw"/>
        <w:jc w:val="both"/>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25589"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34B9B" w:rsidRDefault="00E34B9B" w:rsidP="00E25589">
      <w:pPr>
        <w:autoSpaceDE w:val="0"/>
        <w:autoSpaceDN w:val="0"/>
        <w:adjustRightInd w:val="0"/>
        <w:spacing w:after="0" w:line="240" w:lineRule="auto"/>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E25589" w:rsidRDefault="00E25589" w:rsidP="00DE2259">
      <w:pPr>
        <w:pStyle w:val="Bezodstpw"/>
      </w:pPr>
      <w:r w:rsidRPr="00DE2259">
        <w:t>Zamawiający przewiduje zmiany postanowień zawartej umowy</w:t>
      </w:r>
      <w:r w:rsidR="00DE2259" w:rsidRPr="00DE2259">
        <w:t xml:space="preserve"> określone w § </w:t>
      </w:r>
      <w:r w:rsidR="00072463">
        <w:t>1</w:t>
      </w:r>
      <w:r w:rsidR="00E34B9B">
        <w:t>1</w:t>
      </w:r>
      <w:r w:rsidR="00DE2259" w:rsidRPr="00DE2259">
        <w:t xml:space="preserve"> Projektowanych postanowień umowy:</w:t>
      </w:r>
    </w:p>
    <w:p w:rsidR="00E34B9B" w:rsidRPr="00E34B9B" w:rsidRDefault="00E34B9B" w:rsidP="00E34B9B">
      <w:pPr>
        <w:tabs>
          <w:tab w:val="left" w:pos="423"/>
        </w:tabs>
        <w:spacing w:after="0" w:line="254" w:lineRule="auto"/>
        <w:ind w:right="20"/>
        <w:jc w:val="both"/>
        <w:rPr>
          <w:rFonts w:ascii="Calibri" w:hAnsi="Calibri" w:cs="Calibri"/>
          <w:i/>
        </w:rPr>
      </w:pPr>
      <w:r w:rsidRPr="00E34B9B">
        <w:rPr>
          <w:rFonts w:ascii="Calibri" w:hAnsi="Calibri" w:cs="Calibri"/>
          <w:i/>
        </w:rPr>
        <w:t>1. Zamawiający, przewiduje następujące możliwości dokonania zmiany zawartej umowy w stosunku do treści oferty na podstawie, której dokonano wyboru Wykonawcy gdy:</w:t>
      </w:r>
    </w:p>
    <w:p w:rsidR="00E34B9B" w:rsidRPr="00E34B9B" w:rsidRDefault="00E34B9B" w:rsidP="00E34B9B">
      <w:pPr>
        <w:numPr>
          <w:ilvl w:val="1"/>
          <w:numId w:val="9"/>
        </w:numPr>
        <w:tabs>
          <w:tab w:val="left" w:pos="723"/>
        </w:tabs>
        <w:spacing w:after="0" w:line="218" w:lineRule="auto"/>
        <w:ind w:left="723" w:right="20" w:hanging="363"/>
        <w:rPr>
          <w:rFonts w:ascii="Calibri" w:hAnsi="Calibri" w:cs="Calibri"/>
          <w:i/>
        </w:rPr>
      </w:pPr>
      <w:r w:rsidRPr="00E34B9B">
        <w:rPr>
          <w:rFonts w:ascii="Calibri" w:hAnsi="Calibri" w:cs="Calibri"/>
          <w:i/>
        </w:rPr>
        <w:t>nastąpiła zmiana oznaczenia danych dotyczących Zamawiającego lub Wykonawcy lub osób będących przedstawicielami stron,</w:t>
      </w:r>
    </w:p>
    <w:p w:rsidR="00E34B9B" w:rsidRPr="00E34B9B" w:rsidRDefault="00E34B9B" w:rsidP="00E34B9B">
      <w:pPr>
        <w:numPr>
          <w:ilvl w:val="1"/>
          <w:numId w:val="9"/>
        </w:numPr>
        <w:tabs>
          <w:tab w:val="left" w:pos="723"/>
        </w:tabs>
        <w:spacing w:after="0" w:line="218" w:lineRule="auto"/>
        <w:ind w:left="723" w:right="20" w:hanging="363"/>
        <w:jc w:val="both"/>
        <w:rPr>
          <w:rFonts w:cstheme="minorHAnsi"/>
          <w:i/>
        </w:rPr>
      </w:pPr>
      <w:r w:rsidRPr="00E34B9B">
        <w:rPr>
          <w:rFonts w:cstheme="minorHAnsi"/>
          <w:i/>
        </w:rPr>
        <w:t>nastąpiła zmiana stawki podatku VAT lub podatku akcyzowego. W takim przypadku Zamawiający zastrzega sobie możliwość zmiany ceny o kwotę wynikającą ze zmienionych stawek tego podatku obowiązujących w dacie powstania obowiązku podatkowego w czasie trwania umowy.</w:t>
      </w:r>
    </w:p>
    <w:p w:rsidR="00E34B9B" w:rsidRPr="00E34B9B" w:rsidRDefault="00E34B9B" w:rsidP="00E34B9B">
      <w:pPr>
        <w:numPr>
          <w:ilvl w:val="1"/>
          <w:numId w:val="9"/>
        </w:numPr>
        <w:tabs>
          <w:tab w:val="left" w:pos="723"/>
        </w:tabs>
        <w:spacing w:after="0" w:line="240" w:lineRule="auto"/>
        <w:ind w:left="723" w:hanging="363"/>
        <w:rPr>
          <w:rFonts w:ascii="Calibri" w:hAnsi="Calibri" w:cs="Calibri"/>
          <w:i/>
        </w:rPr>
      </w:pPr>
      <w:r w:rsidRPr="00E34B9B">
        <w:rPr>
          <w:rFonts w:ascii="Calibri" w:hAnsi="Calibri" w:cs="Calibri"/>
          <w:i/>
        </w:rPr>
        <w:t>zaprzestano produkcji zaoferowanego urządzenia,</w:t>
      </w:r>
    </w:p>
    <w:p w:rsidR="00E34B9B" w:rsidRPr="00E34B9B" w:rsidRDefault="00E34B9B" w:rsidP="00E34B9B">
      <w:pPr>
        <w:numPr>
          <w:ilvl w:val="1"/>
          <w:numId w:val="9"/>
        </w:numPr>
        <w:tabs>
          <w:tab w:val="left" w:pos="723"/>
        </w:tabs>
        <w:spacing w:after="120" w:line="218" w:lineRule="auto"/>
        <w:ind w:left="720" w:right="23" w:hanging="363"/>
        <w:rPr>
          <w:rFonts w:ascii="Calibri" w:hAnsi="Calibri" w:cs="Calibri"/>
          <w:i/>
        </w:rPr>
      </w:pPr>
      <w:r w:rsidRPr="00E34B9B">
        <w:rPr>
          <w:rFonts w:ascii="Calibri" w:hAnsi="Calibri" w:cs="Calibri"/>
          <w:i/>
        </w:rPr>
        <w:t>w przypadku zmiany regulacji prawnych wprowadzonych w życie po dacie podpisania umowy, wywołujących potrzebę zmiany umowy lub jej załączników,</w:t>
      </w:r>
    </w:p>
    <w:p w:rsidR="00E34B9B" w:rsidRPr="00E34B9B" w:rsidRDefault="00E34B9B" w:rsidP="00E34B9B">
      <w:pPr>
        <w:numPr>
          <w:ilvl w:val="1"/>
          <w:numId w:val="9"/>
        </w:numPr>
        <w:tabs>
          <w:tab w:val="left" w:pos="723"/>
        </w:tabs>
        <w:spacing w:after="120" w:line="218" w:lineRule="auto"/>
        <w:ind w:left="720" w:right="23" w:hanging="363"/>
        <w:jc w:val="both"/>
        <w:rPr>
          <w:rFonts w:ascii="Calibri" w:hAnsi="Calibri" w:cs="Calibri"/>
          <w:i/>
        </w:rPr>
      </w:pPr>
      <w:r w:rsidRPr="00E34B9B">
        <w:rPr>
          <w:rFonts w:ascii="Calibri" w:hAnsi="Calibri" w:cs="Calibri"/>
          <w:i/>
        </w:rPr>
        <w:lastRenderedPageBreak/>
        <w:t>nastąpiła zmiana wysokości minimalnego wynagrodzenia za pracę albo wysokości minimalnej stawki godzinowej, ustalonych na podstawie ustawy z dnia 10 października 2002 r. o minimalnym wynagrodzeniu za pracę, ,</w:t>
      </w:r>
      <w:r w:rsidRPr="00E34B9B">
        <w:rPr>
          <w:i/>
        </w:rPr>
        <w:t xml:space="preserve"> </w:t>
      </w:r>
      <w:r w:rsidRPr="00E34B9B">
        <w:rPr>
          <w:rFonts w:cstheme="minorHAnsi"/>
          <w:i/>
        </w:rPr>
        <w:t>jeżeli zmiany te będą miały wpływ na koszty wykonania umowy przez Wykonawcę, o wartość wzrostu tych kosztów,</w:t>
      </w:r>
    </w:p>
    <w:p w:rsidR="00E34B9B" w:rsidRPr="00E34B9B" w:rsidRDefault="00E34B9B" w:rsidP="00E34B9B">
      <w:pPr>
        <w:numPr>
          <w:ilvl w:val="1"/>
          <w:numId w:val="9"/>
        </w:numPr>
        <w:tabs>
          <w:tab w:val="left" w:pos="723"/>
        </w:tabs>
        <w:spacing w:after="120" w:line="226" w:lineRule="auto"/>
        <w:ind w:left="720" w:right="23" w:hanging="363"/>
        <w:jc w:val="both"/>
        <w:rPr>
          <w:rFonts w:ascii="Calibri" w:hAnsi="Calibri" w:cs="Calibri"/>
          <w:i/>
        </w:rPr>
      </w:pPr>
      <w:r w:rsidRPr="00E34B9B">
        <w:rPr>
          <w:rFonts w:ascii="Calibri" w:hAnsi="Calibri" w:cs="Calibri"/>
          <w:i/>
        </w:rPr>
        <w:t xml:space="preserve">nastąpiła zmiana  zasad podlegania ubezpieczeniom społecznym lub ubezpieczeniu zdrowotnemu lub wysokości stawki składki na ubezpieczenia społeczne lub ubezpieczenie zdrowotne, </w:t>
      </w:r>
      <w:r w:rsidRPr="00E34B9B">
        <w:rPr>
          <w:rFonts w:cstheme="minorHAnsi"/>
          <w:i/>
        </w:rPr>
        <w:t>jeżeli zmiany te będą miały wpływ na koszty wykonania umowy przez</w:t>
      </w:r>
      <w:r w:rsidRPr="00E34B9B">
        <w:rPr>
          <w:rFonts w:cstheme="minorHAnsi"/>
          <w:i/>
        </w:rPr>
        <w:br/>
        <w:t>Wykonawcę, o wartość wzrostu tych kosztów,</w:t>
      </w:r>
    </w:p>
    <w:p w:rsidR="00E34B9B" w:rsidRPr="00E34B9B" w:rsidRDefault="00E34B9B" w:rsidP="00E34B9B">
      <w:pPr>
        <w:numPr>
          <w:ilvl w:val="1"/>
          <w:numId w:val="9"/>
        </w:numPr>
        <w:tabs>
          <w:tab w:val="left" w:pos="723"/>
        </w:tabs>
        <w:spacing w:after="120" w:line="226" w:lineRule="auto"/>
        <w:ind w:left="720" w:right="23" w:hanging="363"/>
        <w:jc w:val="both"/>
        <w:rPr>
          <w:rFonts w:ascii="Calibri" w:hAnsi="Calibri" w:cs="Calibri"/>
          <w:i/>
        </w:rPr>
      </w:pPr>
      <w:r w:rsidRPr="00E34B9B">
        <w:rPr>
          <w:rFonts w:ascii="Calibri" w:hAnsi="Calibri" w:cs="Calibri"/>
          <w:i/>
        </w:rPr>
        <w:t>nastąpiła zmiana zasad gromadzenia i wysokości wpłat do pracowniczych planów kapitałowych, o których mowa w ustawie z dnia 4 października 2018 r. o pracowniczych planach kapitałowych</w:t>
      </w:r>
      <w:bookmarkStart w:id="0" w:name="_Hlk134447825"/>
      <w:r w:rsidRPr="00E34B9B">
        <w:rPr>
          <w:rFonts w:ascii="Calibri" w:hAnsi="Calibri" w:cs="Calibri"/>
          <w:i/>
        </w:rPr>
        <w:t>,</w:t>
      </w:r>
      <w:r w:rsidRPr="00E34B9B">
        <w:rPr>
          <w:i/>
        </w:rPr>
        <w:t xml:space="preserve"> </w:t>
      </w:r>
      <w:r w:rsidRPr="00E34B9B">
        <w:rPr>
          <w:rFonts w:cstheme="minorHAnsi"/>
          <w:i/>
        </w:rPr>
        <w:t>jeżeli zmiany te będą miały wpływ na koszty wykonania umowy przez</w:t>
      </w:r>
      <w:r w:rsidRPr="00E34B9B">
        <w:rPr>
          <w:rFonts w:cstheme="minorHAnsi"/>
          <w:i/>
        </w:rPr>
        <w:br/>
        <w:t>Wykonawcę, o wartość wzrostu tych kosztów.</w:t>
      </w:r>
      <w:bookmarkEnd w:id="0"/>
    </w:p>
    <w:p w:rsidR="00E34B9B" w:rsidRPr="00E34B9B" w:rsidRDefault="00E34B9B" w:rsidP="00E34B9B">
      <w:pPr>
        <w:pStyle w:val="Akapitzlist"/>
        <w:numPr>
          <w:ilvl w:val="1"/>
          <w:numId w:val="9"/>
        </w:numPr>
        <w:tabs>
          <w:tab w:val="left" w:pos="723"/>
        </w:tabs>
        <w:spacing w:after="0" w:line="226" w:lineRule="auto"/>
        <w:ind w:left="714" w:right="23" w:hanging="357"/>
        <w:jc w:val="both"/>
        <w:rPr>
          <w:rFonts w:ascii="Calibri" w:hAnsi="Calibri" w:cs="Calibri"/>
          <w:i/>
        </w:rPr>
      </w:pPr>
      <w:r w:rsidRPr="00E34B9B">
        <w:rPr>
          <w:rFonts w:ascii="Calibri" w:hAnsi="Calibri" w:cs="Calibri"/>
          <w:i/>
        </w:rPr>
        <w:t xml:space="preserve">Zamawiający ma prawo do zmiany terminów realizacji zamówienia określonych w § 2  niniejszej umowy, bez zmiany wynagrodzenia Wykonawcy, w przypadku nadzwyczajnej zmiany stosunków lub działania siły wyższej, na którą Wykonawca ani Zamawiający nie mają wpływu, lub która zasadniczo nie może być przypisana Wykonawcy ani Zamawiającemu, gdzie wykonanie umowy we wskazanych terminach nie będzie możliwe. </w:t>
      </w:r>
      <w:bookmarkStart w:id="1" w:name="page8"/>
      <w:bookmarkEnd w:id="1"/>
    </w:p>
    <w:p w:rsidR="00E34B9B" w:rsidRPr="00E34B9B" w:rsidRDefault="00E34B9B" w:rsidP="00E34B9B">
      <w:pPr>
        <w:spacing w:line="320" w:lineRule="exact"/>
        <w:ind w:left="709"/>
        <w:rPr>
          <w:rFonts w:ascii="Calibri" w:hAnsi="Calibri"/>
          <w:i/>
        </w:rPr>
      </w:pPr>
    </w:p>
    <w:p w:rsidR="00E34B9B" w:rsidRPr="00E34B9B" w:rsidRDefault="00E34B9B" w:rsidP="00E34B9B">
      <w:pPr>
        <w:pStyle w:val="Akapitzlist"/>
        <w:numPr>
          <w:ilvl w:val="0"/>
          <w:numId w:val="7"/>
        </w:numPr>
        <w:spacing w:after="0" w:line="225" w:lineRule="auto"/>
        <w:ind w:right="20"/>
        <w:jc w:val="both"/>
        <w:rPr>
          <w:rFonts w:ascii="Calibri" w:hAnsi="Calibri" w:cs="Calibri"/>
          <w:i/>
        </w:rPr>
      </w:pPr>
      <w:r w:rsidRPr="00E34B9B">
        <w:rPr>
          <w:rFonts w:ascii="Calibri" w:hAnsi="Calibri" w:cs="Calibri"/>
          <w:i/>
        </w:rPr>
        <w:t>Zmiany, o których mowa w ust. 1 zostaną dokonane na podstawie dokumentów zawierających uzasadnienie zmian oraz wymagają sporządzenia aneksu w formie pisemnej pod rygorem nieważności i mogą zostać wprowadzone, jeżeli obie strony niniejszej umowy zgodnie uznają, że zaszły wskazane okoliczności i wprowadzenie zmian jest konieczne dla prawidłowej realizacji zamówienia.</w:t>
      </w:r>
      <w:r w:rsidRPr="00E34B9B">
        <w:rPr>
          <w:rFonts w:cstheme="minorHAnsi"/>
          <w:i/>
          <w:highlight w:val="green"/>
        </w:rPr>
        <w:t xml:space="preserve"> </w:t>
      </w:r>
    </w:p>
    <w:p w:rsidR="00E34B9B" w:rsidRPr="00E34B9B" w:rsidRDefault="00E34B9B" w:rsidP="00E34B9B">
      <w:pPr>
        <w:spacing w:line="2" w:lineRule="exact"/>
        <w:rPr>
          <w:rFonts w:ascii="Calibri" w:hAnsi="Calibri" w:cs="Calibri"/>
          <w:i/>
        </w:rPr>
      </w:pPr>
    </w:p>
    <w:p w:rsidR="00E34B9B" w:rsidRPr="00E34B9B" w:rsidRDefault="00E34B9B" w:rsidP="00E34B9B">
      <w:pPr>
        <w:numPr>
          <w:ilvl w:val="0"/>
          <w:numId w:val="7"/>
        </w:numPr>
        <w:tabs>
          <w:tab w:val="left" w:pos="142"/>
        </w:tabs>
        <w:spacing w:after="0" w:line="240" w:lineRule="auto"/>
        <w:rPr>
          <w:rFonts w:ascii="Calibri" w:hAnsi="Calibri" w:cs="Calibri"/>
          <w:i/>
        </w:rPr>
      </w:pPr>
      <w:r w:rsidRPr="00E34B9B">
        <w:rPr>
          <w:rFonts w:ascii="Calibri" w:hAnsi="Calibri" w:cs="Calibri"/>
          <w:i/>
        </w:rPr>
        <w:t>W przypadku wskazanym w ust. 1 pkt c) za dokument zawierający uzasadnienie zmian uważać należy pisemne oświadczenie producenta lub jego polskiego dystrybutora o wycofaniu urządzenia lub podzespołu z produkcji (dystrybucji). Oświadczenie to powinno być datowane datą późniejszą niż dzień złożenia oferty przez Wykonawcę.</w:t>
      </w:r>
    </w:p>
    <w:p w:rsidR="001E6091" w:rsidRPr="00E34B9B" w:rsidRDefault="00E34B9B" w:rsidP="00E34B9B">
      <w:pPr>
        <w:pStyle w:val="Akapitzlist"/>
        <w:numPr>
          <w:ilvl w:val="0"/>
          <w:numId w:val="7"/>
        </w:numPr>
        <w:spacing w:after="0" w:line="231" w:lineRule="auto"/>
        <w:jc w:val="both"/>
        <w:rPr>
          <w:rFonts w:ascii="Calibri" w:hAnsi="Calibri"/>
          <w:i/>
        </w:rPr>
      </w:pPr>
      <w:r w:rsidRPr="00E34B9B">
        <w:rPr>
          <w:rFonts w:ascii="Calibri" w:hAnsi="Calibri" w:cs="Calibri"/>
          <w:i/>
        </w:rPr>
        <w:t>Zmiany, o których mowa w ust. 1 pkt c) mogą być dokonane jeżeli Wykonawca oświadczy, że sprzęt zamienny spełnia wymagania SWZ oraz posiada nie gorsze parametry techniczne i nie niższą wartość rynkową, niż urządzenia pierwotnie zaoferowane. W wyniku przedmiotowych zmian oferowana przez Wykonawcę wartość urządzeń nie zostanie zmieniona.</w:t>
      </w:r>
    </w:p>
    <w:p w:rsidR="003416AA" w:rsidRPr="003416AA" w:rsidRDefault="003416AA" w:rsidP="003416AA">
      <w:pPr>
        <w:pStyle w:val="Bezodstpw"/>
        <w:jc w:val="both"/>
        <w:rPr>
          <w:i/>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r>
        <w:rPr>
          <w:rFonts w:cs="TimesNewRomanPSMT"/>
        </w:rPr>
        <w:t>P</w:t>
      </w:r>
      <w:r w:rsidRPr="007C5960">
        <w:rPr>
          <w:rFonts w:cs="TimesNewRomanPSMT"/>
        </w:rPr>
        <w:t>zp.</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lastRenderedPageBreak/>
        <w:t>ochrony prawnej" ustawy PZP.</w:t>
      </w:r>
    </w:p>
    <w:p w:rsidR="00E25589" w:rsidRDefault="00E25589"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E25589"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p>
    <w:p w:rsidR="002C2BB2" w:rsidRPr="005867D3" w:rsidRDefault="002C2BB2" w:rsidP="005867D3">
      <w:pPr>
        <w:pStyle w:val="DocumentMap"/>
        <w:jc w:val="right"/>
        <w:rPr>
          <w:sz w:val="22"/>
          <w:szCs w:val="22"/>
        </w:rPr>
      </w:pPr>
    </w:p>
    <w:p w:rsidR="0071123E" w:rsidRDefault="00B80FB0" w:rsidP="005867D3">
      <w:pPr>
        <w:pStyle w:val="Bezodstpw"/>
        <w:jc w:val="right"/>
        <w:rPr>
          <w:rFonts w:ascii="Calibri" w:hAnsi="Calibri" w:cs="Tahoma"/>
        </w:rPr>
      </w:pPr>
      <w:bookmarkStart w:id="2" w:name="_GoBack"/>
      <w:bookmarkEnd w:id="2"/>
      <w:r>
        <w:rPr>
          <w:rFonts w:ascii="Calibri" w:hAnsi="Calibri" w:cs="Tahoma"/>
        </w:rPr>
        <w:t>Zatwierdził:</w:t>
      </w:r>
    </w:p>
    <w:p w:rsidR="00B80FB0" w:rsidRDefault="00B80FB0" w:rsidP="005867D3">
      <w:pPr>
        <w:pStyle w:val="Bezodstpw"/>
        <w:jc w:val="right"/>
        <w:rPr>
          <w:rFonts w:ascii="Calibri" w:hAnsi="Calibri" w:cs="Tahoma"/>
        </w:rPr>
      </w:pPr>
      <w:r>
        <w:rPr>
          <w:rFonts w:ascii="Calibri" w:hAnsi="Calibri" w:cs="Tahoma"/>
        </w:rPr>
        <w:t xml:space="preserve">Pierwszy Zastępca </w:t>
      </w:r>
    </w:p>
    <w:p w:rsidR="00B80FB0" w:rsidRDefault="00B80FB0" w:rsidP="005867D3">
      <w:pPr>
        <w:pStyle w:val="Bezodstpw"/>
        <w:jc w:val="right"/>
        <w:rPr>
          <w:rFonts w:ascii="Calibri" w:hAnsi="Calibri" w:cs="Tahoma"/>
        </w:rPr>
      </w:pPr>
      <w:r>
        <w:rPr>
          <w:rFonts w:ascii="Calibri" w:hAnsi="Calibri" w:cs="Tahoma"/>
        </w:rPr>
        <w:t xml:space="preserve">Komendanta Wojewódzkiego Policji we Wrocławiu </w:t>
      </w:r>
    </w:p>
    <w:p w:rsidR="00B80FB0" w:rsidRPr="001E6091" w:rsidRDefault="00B80FB0" w:rsidP="005867D3">
      <w:pPr>
        <w:pStyle w:val="Bezodstpw"/>
        <w:jc w:val="right"/>
        <w:rPr>
          <w:rFonts w:ascii="Calibri" w:hAnsi="Calibri" w:cs="Tahoma"/>
        </w:rPr>
      </w:pPr>
      <w:r>
        <w:rPr>
          <w:rFonts w:ascii="Calibri" w:hAnsi="Calibri" w:cs="Tahoma"/>
        </w:rPr>
        <w:t xml:space="preserve">insp. Robert Frąckowiak </w:t>
      </w:r>
    </w:p>
    <w:sectPr w:rsidR="00B80FB0" w:rsidRPr="001E6091"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27FC" w:rsidRDefault="002F27FC" w:rsidP="00DD2C4D">
      <w:pPr>
        <w:spacing w:after="0" w:line="240" w:lineRule="auto"/>
      </w:pPr>
      <w:r>
        <w:separator/>
      </w:r>
    </w:p>
  </w:endnote>
  <w:endnote w:type="continuationSeparator" w:id="0">
    <w:p w:rsidR="002F27FC" w:rsidRDefault="002F27FC"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panose1 w:val="020B0606030504020204"/>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EndPr/>
    <w:sdtContent>
      <w:p w:rsidR="00B47B49" w:rsidRDefault="00B47B49" w:rsidP="006E049B">
        <w:pPr>
          <w:spacing w:after="0" w:line="240" w:lineRule="auto"/>
          <w:ind w:left="567"/>
          <w:jc w:val="center"/>
        </w:pPr>
      </w:p>
      <w:p w:rsidR="00B47B49" w:rsidRDefault="00B47B49" w:rsidP="006348D7">
        <w:pPr>
          <w:pStyle w:val="Stopka"/>
        </w:pPr>
      </w:p>
      <w:p w:rsidR="00B47B49" w:rsidRDefault="00B47B49">
        <w:pPr>
          <w:pStyle w:val="Stopka"/>
          <w:jc w:val="center"/>
        </w:pPr>
        <w:r>
          <w:fldChar w:fldCharType="begin"/>
        </w:r>
        <w:r>
          <w:instrText>PAGE   \* MERGEFORMAT</w:instrText>
        </w:r>
        <w:r>
          <w:fldChar w:fldCharType="separate"/>
        </w:r>
        <w:r w:rsidR="00B80FB0">
          <w:rPr>
            <w:noProof/>
          </w:rPr>
          <w:t>27</w:t>
        </w:r>
        <w:r>
          <w:fldChar w:fldCharType="end"/>
        </w:r>
      </w:p>
    </w:sdtContent>
  </w:sdt>
  <w:p w:rsidR="00B47B49" w:rsidRDefault="00B47B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27FC" w:rsidRDefault="002F27FC" w:rsidP="00DD2C4D">
      <w:pPr>
        <w:spacing w:after="0" w:line="240" w:lineRule="auto"/>
      </w:pPr>
      <w:r>
        <w:separator/>
      </w:r>
    </w:p>
  </w:footnote>
  <w:footnote w:type="continuationSeparator" w:id="0">
    <w:p w:rsidR="002F27FC" w:rsidRDefault="002F27FC"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B49" w:rsidRDefault="00B47B49" w:rsidP="00B02F93">
    <w:pPr>
      <w:pStyle w:val="Nagwek"/>
      <w:jc w:val="center"/>
      <w:rPr>
        <w:rFonts w:ascii="Calibri" w:hAnsi="Calibri"/>
      </w:rPr>
    </w:pPr>
  </w:p>
  <w:p w:rsidR="00B47B49" w:rsidRDefault="00B47B49" w:rsidP="00B02F93">
    <w:pPr>
      <w:pStyle w:val="Nagwek"/>
      <w:jc w:val="center"/>
      <w:rPr>
        <w:rFonts w:ascii="Calibri" w:hAnsi="Calibri"/>
      </w:rPr>
    </w:pPr>
  </w:p>
  <w:p w:rsidR="00B47B49" w:rsidRPr="00E92863" w:rsidRDefault="00B47B49"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PUZ-2380-050-072-050/2024/MA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15:restartNumberingAfterBreak="0">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9"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D97EAD"/>
    <w:multiLevelType w:val="hybridMultilevel"/>
    <w:tmpl w:val="7A2A0C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3"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15"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lvlOverride w:ilvl="0">
      <w:lvl w:ilvl="0">
        <w:numFmt w:val="decimal"/>
        <w:lvlText w:val=""/>
        <w:lvlJc w:val="left"/>
      </w:lvl>
    </w:lvlOverride>
    <w:lvlOverride w:ilvl="1">
      <w:lvl w:ilvl="1">
        <w:numFmt w:val="lowerLetter"/>
        <w:lvlText w:val="%2."/>
        <w:lvlJc w:val="left"/>
      </w:lvl>
    </w:lvlOverride>
  </w:num>
  <w:num w:numId="2">
    <w:abstractNumId w:val="9"/>
    <w:lvlOverride w:ilvl="0">
      <w:lvl w:ilvl="0">
        <w:numFmt w:val="decimal"/>
        <w:lvlText w:val=""/>
        <w:lvlJc w:val="left"/>
      </w:lvl>
    </w:lvlOverride>
    <w:lvlOverride w:ilvl="1">
      <w:lvl w:ilvl="1">
        <w:numFmt w:val="lowerLetter"/>
        <w:lvlText w:val="%2."/>
        <w:lvlJc w:val="left"/>
      </w:lvl>
    </w:lvlOverride>
  </w:num>
  <w:num w:numId="3">
    <w:abstractNumId w:val="13"/>
    <w:lvlOverride w:ilvl="0">
      <w:lvl w:ilvl="0">
        <w:numFmt w:val="decimal"/>
        <w:lvlText w:val=""/>
        <w:lvlJc w:val="left"/>
      </w:lvl>
    </w:lvlOverride>
    <w:lvlOverride w:ilvl="1">
      <w:lvl w:ilvl="1">
        <w:numFmt w:val="lowerLetter"/>
        <w:lvlText w:val="%2."/>
        <w:lvlJc w:val="left"/>
      </w:lvl>
    </w:lvlOverride>
  </w:num>
  <w:num w:numId="4">
    <w:abstractNumId w:val="8"/>
  </w:num>
  <w:num w:numId="5">
    <w:abstractNumId w:val="11"/>
  </w:num>
  <w:num w:numId="6">
    <w:abstractNumId w:val="7"/>
  </w:num>
  <w:num w:numId="7">
    <w:abstractNumId w:val="10"/>
  </w:num>
  <w:num w:numId="8">
    <w:abstractNumId w:val="5"/>
  </w:num>
  <w:num w:numId="9">
    <w:abstractNumId w:val="14"/>
  </w:num>
  <w:num w:numId="10">
    <w:abstractNumId w:val="12"/>
  </w:num>
  <w:num w:numId="11">
    <w:abstractNumId w:val="6"/>
  </w:num>
  <w:num w:numId="12">
    <w:abstractNumId w:val="0"/>
  </w:num>
  <w:num w:numId="13">
    <w:abstractNumId w:val="1"/>
  </w:num>
  <w:num w:numId="1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42639"/>
    <w:rsid w:val="00050B13"/>
    <w:rsid w:val="00050B9B"/>
    <w:rsid w:val="00053C48"/>
    <w:rsid w:val="000603A6"/>
    <w:rsid w:val="00060614"/>
    <w:rsid w:val="00065300"/>
    <w:rsid w:val="00072463"/>
    <w:rsid w:val="00075DB4"/>
    <w:rsid w:val="00082349"/>
    <w:rsid w:val="00084644"/>
    <w:rsid w:val="00087ECE"/>
    <w:rsid w:val="000973EC"/>
    <w:rsid w:val="000A151B"/>
    <w:rsid w:val="000A1DBF"/>
    <w:rsid w:val="000A309D"/>
    <w:rsid w:val="000A316D"/>
    <w:rsid w:val="000A3E0B"/>
    <w:rsid w:val="000A73D5"/>
    <w:rsid w:val="000B0AF0"/>
    <w:rsid w:val="000B0FEC"/>
    <w:rsid w:val="000B548D"/>
    <w:rsid w:val="000C3405"/>
    <w:rsid w:val="000D3060"/>
    <w:rsid w:val="000F2931"/>
    <w:rsid w:val="000F3A13"/>
    <w:rsid w:val="000F5011"/>
    <w:rsid w:val="000F51AF"/>
    <w:rsid w:val="00100535"/>
    <w:rsid w:val="001035D4"/>
    <w:rsid w:val="00105D97"/>
    <w:rsid w:val="001064FC"/>
    <w:rsid w:val="001105B4"/>
    <w:rsid w:val="00110FDA"/>
    <w:rsid w:val="001241A8"/>
    <w:rsid w:val="001241AC"/>
    <w:rsid w:val="00136D2B"/>
    <w:rsid w:val="001426D5"/>
    <w:rsid w:val="001456A1"/>
    <w:rsid w:val="00146359"/>
    <w:rsid w:val="00147FB7"/>
    <w:rsid w:val="0016199A"/>
    <w:rsid w:val="001639FD"/>
    <w:rsid w:val="00163F8C"/>
    <w:rsid w:val="001644BF"/>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E6091"/>
    <w:rsid w:val="001F054B"/>
    <w:rsid w:val="001F671D"/>
    <w:rsid w:val="001F7A07"/>
    <w:rsid w:val="00202618"/>
    <w:rsid w:val="00203DF4"/>
    <w:rsid w:val="002063E6"/>
    <w:rsid w:val="00210286"/>
    <w:rsid w:val="00212E88"/>
    <w:rsid w:val="00214840"/>
    <w:rsid w:val="002178D1"/>
    <w:rsid w:val="002207CF"/>
    <w:rsid w:val="0022220A"/>
    <w:rsid w:val="00232311"/>
    <w:rsid w:val="00243A0C"/>
    <w:rsid w:val="0024512B"/>
    <w:rsid w:val="00252367"/>
    <w:rsid w:val="00254E02"/>
    <w:rsid w:val="002649C2"/>
    <w:rsid w:val="00267AFE"/>
    <w:rsid w:val="00275972"/>
    <w:rsid w:val="00283002"/>
    <w:rsid w:val="002859B9"/>
    <w:rsid w:val="00292F74"/>
    <w:rsid w:val="0029797F"/>
    <w:rsid w:val="002B2A6B"/>
    <w:rsid w:val="002B738B"/>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21D10"/>
    <w:rsid w:val="003339BE"/>
    <w:rsid w:val="00335DE8"/>
    <w:rsid w:val="003416AA"/>
    <w:rsid w:val="003467D0"/>
    <w:rsid w:val="0036116F"/>
    <w:rsid w:val="00361BE5"/>
    <w:rsid w:val="00363551"/>
    <w:rsid w:val="00365362"/>
    <w:rsid w:val="00367F88"/>
    <w:rsid w:val="00374576"/>
    <w:rsid w:val="003774D4"/>
    <w:rsid w:val="00382F64"/>
    <w:rsid w:val="003835D7"/>
    <w:rsid w:val="003840F8"/>
    <w:rsid w:val="00390A11"/>
    <w:rsid w:val="0039409C"/>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404231"/>
    <w:rsid w:val="0040460F"/>
    <w:rsid w:val="00404C3F"/>
    <w:rsid w:val="00406311"/>
    <w:rsid w:val="00406EE7"/>
    <w:rsid w:val="00407D53"/>
    <w:rsid w:val="00424D9D"/>
    <w:rsid w:val="0043010B"/>
    <w:rsid w:val="004304D5"/>
    <w:rsid w:val="00431F44"/>
    <w:rsid w:val="00434895"/>
    <w:rsid w:val="004405D0"/>
    <w:rsid w:val="00446150"/>
    <w:rsid w:val="00454AB7"/>
    <w:rsid w:val="00460411"/>
    <w:rsid w:val="00461CDA"/>
    <w:rsid w:val="00476809"/>
    <w:rsid w:val="0049365F"/>
    <w:rsid w:val="00497597"/>
    <w:rsid w:val="004A0183"/>
    <w:rsid w:val="004A2BD3"/>
    <w:rsid w:val="004A38A9"/>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540E"/>
    <w:rsid w:val="005464B5"/>
    <w:rsid w:val="005505F3"/>
    <w:rsid w:val="00551E5C"/>
    <w:rsid w:val="00552687"/>
    <w:rsid w:val="0056772B"/>
    <w:rsid w:val="0057008F"/>
    <w:rsid w:val="005709AC"/>
    <w:rsid w:val="0057237E"/>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5B8B"/>
    <w:rsid w:val="005E3282"/>
    <w:rsid w:val="006006F1"/>
    <w:rsid w:val="00602429"/>
    <w:rsid w:val="00604133"/>
    <w:rsid w:val="00616592"/>
    <w:rsid w:val="00616C3E"/>
    <w:rsid w:val="006204A5"/>
    <w:rsid w:val="0062621E"/>
    <w:rsid w:val="006348D7"/>
    <w:rsid w:val="00636979"/>
    <w:rsid w:val="0064179E"/>
    <w:rsid w:val="006548F1"/>
    <w:rsid w:val="00656539"/>
    <w:rsid w:val="00663BFB"/>
    <w:rsid w:val="006651DC"/>
    <w:rsid w:val="00670378"/>
    <w:rsid w:val="00672631"/>
    <w:rsid w:val="006728E6"/>
    <w:rsid w:val="006875AE"/>
    <w:rsid w:val="00691378"/>
    <w:rsid w:val="00691447"/>
    <w:rsid w:val="00693D13"/>
    <w:rsid w:val="00696F5F"/>
    <w:rsid w:val="0069754A"/>
    <w:rsid w:val="006A3567"/>
    <w:rsid w:val="006B01E3"/>
    <w:rsid w:val="006B274E"/>
    <w:rsid w:val="006C160B"/>
    <w:rsid w:val="006C20F0"/>
    <w:rsid w:val="006C2111"/>
    <w:rsid w:val="006C4275"/>
    <w:rsid w:val="006D6C61"/>
    <w:rsid w:val="006E049B"/>
    <w:rsid w:val="006E0DA6"/>
    <w:rsid w:val="006E4F89"/>
    <w:rsid w:val="006F54A4"/>
    <w:rsid w:val="00701C1E"/>
    <w:rsid w:val="0070741B"/>
    <w:rsid w:val="00707B36"/>
    <w:rsid w:val="0071123E"/>
    <w:rsid w:val="007118C9"/>
    <w:rsid w:val="00713725"/>
    <w:rsid w:val="00721E56"/>
    <w:rsid w:val="00722DEA"/>
    <w:rsid w:val="0072622B"/>
    <w:rsid w:val="00741136"/>
    <w:rsid w:val="007506A2"/>
    <w:rsid w:val="007625CB"/>
    <w:rsid w:val="00767AA8"/>
    <w:rsid w:val="00776DFE"/>
    <w:rsid w:val="00781266"/>
    <w:rsid w:val="00787D76"/>
    <w:rsid w:val="007917F8"/>
    <w:rsid w:val="00796526"/>
    <w:rsid w:val="007A6465"/>
    <w:rsid w:val="007A7277"/>
    <w:rsid w:val="007B0EC8"/>
    <w:rsid w:val="007B71A9"/>
    <w:rsid w:val="007B78F8"/>
    <w:rsid w:val="007C5960"/>
    <w:rsid w:val="007D0990"/>
    <w:rsid w:val="007D3B7B"/>
    <w:rsid w:val="007D4807"/>
    <w:rsid w:val="007D5079"/>
    <w:rsid w:val="007D7D2F"/>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50557"/>
    <w:rsid w:val="008537E0"/>
    <w:rsid w:val="00853F5F"/>
    <w:rsid w:val="00855718"/>
    <w:rsid w:val="00866B18"/>
    <w:rsid w:val="008713A3"/>
    <w:rsid w:val="00884414"/>
    <w:rsid w:val="00890BEB"/>
    <w:rsid w:val="00891C14"/>
    <w:rsid w:val="00895D27"/>
    <w:rsid w:val="008A1A7C"/>
    <w:rsid w:val="008A42B3"/>
    <w:rsid w:val="008A5994"/>
    <w:rsid w:val="008B2E02"/>
    <w:rsid w:val="008B658B"/>
    <w:rsid w:val="008C1B03"/>
    <w:rsid w:val="008C1C4E"/>
    <w:rsid w:val="008D14F0"/>
    <w:rsid w:val="008D3598"/>
    <w:rsid w:val="008D38A5"/>
    <w:rsid w:val="008E0B1A"/>
    <w:rsid w:val="00901BFF"/>
    <w:rsid w:val="00903ADD"/>
    <w:rsid w:val="0091400E"/>
    <w:rsid w:val="009160C2"/>
    <w:rsid w:val="009166F5"/>
    <w:rsid w:val="009171FC"/>
    <w:rsid w:val="009202F1"/>
    <w:rsid w:val="00925C77"/>
    <w:rsid w:val="00935E51"/>
    <w:rsid w:val="0094705C"/>
    <w:rsid w:val="00947369"/>
    <w:rsid w:val="009505EC"/>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5D3D"/>
    <w:rsid w:val="00A36240"/>
    <w:rsid w:val="00A45434"/>
    <w:rsid w:val="00A454F7"/>
    <w:rsid w:val="00A45927"/>
    <w:rsid w:val="00A46EAC"/>
    <w:rsid w:val="00A56EAF"/>
    <w:rsid w:val="00A63586"/>
    <w:rsid w:val="00A71F0E"/>
    <w:rsid w:val="00A71F14"/>
    <w:rsid w:val="00A81CE4"/>
    <w:rsid w:val="00A84C52"/>
    <w:rsid w:val="00A852F7"/>
    <w:rsid w:val="00A87282"/>
    <w:rsid w:val="00A87733"/>
    <w:rsid w:val="00A87CEC"/>
    <w:rsid w:val="00A938B3"/>
    <w:rsid w:val="00A960FD"/>
    <w:rsid w:val="00A965EE"/>
    <w:rsid w:val="00AB178A"/>
    <w:rsid w:val="00AB34B0"/>
    <w:rsid w:val="00AB54D4"/>
    <w:rsid w:val="00AC1675"/>
    <w:rsid w:val="00AC323E"/>
    <w:rsid w:val="00AD3ED7"/>
    <w:rsid w:val="00AD512F"/>
    <w:rsid w:val="00AD7231"/>
    <w:rsid w:val="00AF4136"/>
    <w:rsid w:val="00AF6867"/>
    <w:rsid w:val="00B019D0"/>
    <w:rsid w:val="00B02F93"/>
    <w:rsid w:val="00B03EEB"/>
    <w:rsid w:val="00B07BC4"/>
    <w:rsid w:val="00B10A52"/>
    <w:rsid w:val="00B11B58"/>
    <w:rsid w:val="00B12DC6"/>
    <w:rsid w:val="00B14413"/>
    <w:rsid w:val="00B15CDA"/>
    <w:rsid w:val="00B209C4"/>
    <w:rsid w:val="00B239E0"/>
    <w:rsid w:val="00B26313"/>
    <w:rsid w:val="00B27D18"/>
    <w:rsid w:val="00B30915"/>
    <w:rsid w:val="00B44876"/>
    <w:rsid w:val="00B47B49"/>
    <w:rsid w:val="00B52A99"/>
    <w:rsid w:val="00B714A9"/>
    <w:rsid w:val="00B80FB0"/>
    <w:rsid w:val="00B913F2"/>
    <w:rsid w:val="00BA1C89"/>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26F1"/>
    <w:rsid w:val="00C428E0"/>
    <w:rsid w:val="00C4491E"/>
    <w:rsid w:val="00C52FDE"/>
    <w:rsid w:val="00C53AAA"/>
    <w:rsid w:val="00C63649"/>
    <w:rsid w:val="00C643AC"/>
    <w:rsid w:val="00C64613"/>
    <w:rsid w:val="00C72C12"/>
    <w:rsid w:val="00C76806"/>
    <w:rsid w:val="00C851D8"/>
    <w:rsid w:val="00C8611A"/>
    <w:rsid w:val="00C8679F"/>
    <w:rsid w:val="00C90993"/>
    <w:rsid w:val="00C9462F"/>
    <w:rsid w:val="00C94FC8"/>
    <w:rsid w:val="00CA1739"/>
    <w:rsid w:val="00CA4558"/>
    <w:rsid w:val="00CA5A77"/>
    <w:rsid w:val="00CB0C26"/>
    <w:rsid w:val="00CB2F44"/>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3499"/>
    <w:rsid w:val="00D55ADB"/>
    <w:rsid w:val="00D560EA"/>
    <w:rsid w:val="00D5700A"/>
    <w:rsid w:val="00D678D4"/>
    <w:rsid w:val="00D715C8"/>
    <w:rsid w:val="00D7440A"/>
    <w:rsid w:val="00D8036D"/>
    <w:rsid w:val="00D81F7E"/>
    <w:rsid w:val="00D82813"/>
    <w:rsid w:val="00D85782"/>
    <w:rsid w:val="00D903AE"/>
    <w:rsid w:val="00DA0B62"/>
    <w:rsid w:val="00DA219B"/>
    <w:rsid w:val="00DA6C3D"/>
    <w:rsid w:val="00DB1441"/>
    <w:rsid w:val="00DB3C20"/>
    <w:rsid w:val="00DB4BD2"/>
    <w:rsid w:val="00DC5100"/>
    <w:rsid w:val="00DD0D51"/>
    <w:rsid w:val="00DD2A9E"/>
    <w:rsid w:val="00DD2C4D"/>
    <w:rsid w:val="00DD6FC0"/>
    <w:rsid w:val="00DE2259"/>
    <w:rsid w:val="00DF06D1"/>
    <w:rsid w:val="00DF5254"/>
    <w:rsid w:val="00E01CA1"/>
    <w:rsid w:val="00E06B99"/>
    <w:rsid w:val="00E1338E"/>
    <w:rsid w:val="00E141C4"/>
    <w:rsid w:val="00E25589"/>
    <w:rsid w:val="00E26AA6"/>
    <w:rsid w:val="00E34B9B"/>
    <w:rsid w:val="00E41F18"/>
    <w:rsid w:val="00E47D17"/>
    <w:rsid w:val="00E52359"/>
    <w:rsid w:val="00E60009"/>
    <w:rsid w:val="00E6023A"/>
    <w:rsid w:val="00E61D9B"/>
    <w:rsid w:val="00E66E96"/>
    <w:rsid w:val="00E67EAE"/>
    <w:rsid w:val="00E77F56"/>
    <w:rsid w:val="00E832DD"/>
    <w:rsid w:val="00E86D05"/>
    <w:rsid w:val="00E92863"/>
    <w:rsid w:val="00E9363F"/>
    <w:rsid w:val="00EA1CDB"/>
    <w:rsid w:val="00EA2CC5"/>
    <w:rsid w:val="00EA4DF3"/>
    <w:rsid w:val="00EA7858"/>
    <w:rsid w:val="00EB433F"/>
    <w:rsid w:val="00EB5D72"/>
    <w:rsid w:val="00EB74B6"/>
    <w:rsid w:val="00ED0B9E"/>
    <w:rsid w:val="00ED383E"/>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3AF2"/>
    <w:rsid w:val="00F35E55"/>
    <w:rsid w:val="00F5456B"/>
    <w:rsid w:val="00F55DCD"/>
    <w:rsid w:val="00F57ECF"/>
    <w:rsid w:val="00F61B8C"/>
    <w:rsid w:val="00F8004F"/>
    <w:rsid w:val="00F8545F"/>
    <w:rsid w:val="00F86B30"/>
    <w:rsid w:val="00F949AE"/>
    <w:rsid w:val="00FA2968"/>
    <w:rsid w:val="00FA6402"/>
    <w:rsid w:val="00FA6743"/>
    <w:rsid w:val="00FB3C8C"/>
    <w:rsid w:val="00FC4B66"/>
    <w:rsid w:val="00FC5C4A"/>
    <w:rsid w:val="00FC741A"/>
    <w:rsid w:val="00FC78D4"/>
    <w:rsid w:val="00FC7DE4"/>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BA92A-0F37-4F90-8B94-1D25930EB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5124</TotalTime>
  <Pages>1</Pages>
  <Words>13769</Words>
  <Characters>82619</Characters>
  <Application>Microsoft Office Word</Application>
  <DocSecurity>0</DocSecurity>
  <Lines>688</Lines>
  <Paragraphs>192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96196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MonikaAndruszkiewicz</cp:lastModifiedBy>
  <cp:revision>250</cp:revision>
  <cp:lastPrinted>2023-11-29T06:58:00Z</cp:lastPrinted>
  <dcterms:created xsi:type="dcterms:W3CDTF">2021-03-03T09:32:00Z</dcterms:created>
  <dcterms:modified xsi:type="dcterms:W3CDTF">2024-05-28T08:17:00Z</dcterms:modified>
</cp:coreProperties>
</file>