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E534" w14:textId="5C5C4BB0" w:rsidR="003C72EF" w:rsidRPr="003C72EF" w:rsidRDefault="003C72EF" w:rsidP="003C72EF">
      <w:pPr>
        <w:rPr>
          <w:b/>
        </w:rPr>
      </w:pPr>
      <w:bookmarkStart w:id="0" w:name="_GoBack"/>
      <w:r w:rsidRPr="003C72EF">
        <w:rPr>
          <w:b/>
        </w:rPr>
        <w:t>Fotel gabinetowy</w:t>
      </w:r>
    </w:p>
    <w:bookmarkEnd w:id="0"/>
    <w:p w14:paraId="4EA0EF94" w14:textId="77777777" w:rsidR="003C72EF" w:rsidRDefault="003C72EF" w:rsidP="003C72EF">
      <w:r>
        <w:t>Wymiary:</w:t>
      </w:r>
    </w:p>
    <w:p w14:paraId="0F13EBFE" w14:textId="77777777" w:rsidR="003C72EF" w:rsidRDefault="003C72EF" w:rsidP="003C72EF">
      <w:r>
        <w:t xml:space="preserve"> Wys. oparcia  68 do 73 cm +/-5%                                               </w:t>
      </w:r>
    </w:p>
    <w:p w14:paraId="0A511FFB" w14:textId="77777777" w:rsidR="003C72EF" w:rsidRDefault="003C72EF" w:rsidP="003C72EF">
      <w:r>
        <w:t xml:space="preserve">głęb. Siedziska 48 cm +/-5%             </w:t>
      </w:r>
    </w:p>
    <w:p w14:paraId="65449634" w14:textId="77777777" w:rsidR="003C72EF" w:rsidRDefault="003C72EF" w:rsidP="003C72EF">
      <w:r>
        <w:t>szer. Siedziska 54 cm +/-5%</w:t>
      </w:r>
    </w:p>
    <w:p w14:paraId="134347AC" w14:textId="77777777" w:rsidR="003C72EF" w:rsidRDefault="003C72EF" w:rsidP="003C72EF">
      <w:r>
        <w:t xml:space="preserve"> ogólna wysokość 115 do 121 cm +/-5%</w:t>
      </w:r>
    </w:p>
    <w:p w14:paraId="172151DA" w14:textId="77777777" w:rsidR="003C72EF" w:rsidRDefault="003C72EF" w:rsidP="003C72EF">
      <w:r>
        <w:t xml:space="preserve"> ogólna głębokość 78 cm +/-5% </w:t>
      </w:r>
    </w:p>
    <w:p w14:paraId="744DCCCB" w14:textId="77777777" w:rsidR="003C72EF" w:rsidRDefault="003C72EF" w:rsidP="003C72EF">
      <w:r>
        <w:t>ogólna szerokość 70 cm +/-5%</w:t>
      </w:r>
    </w:p>
    <w:p w14:paraId="67B67537" w14:textId="77777777" w:rsidR="003C72EF" w:rsidRDefault="003C72EF" w:rsidP="003C72EF">
      <w:r>
        <w:t>wys. podłokietników ( od podłoża) 66-72 +/- 5%</w:t>
      </w:r>
    </w:p>
    <w:p w14:paraId="5DBBA75B" w14:textId="77777777" w:rsidR="003C72EF" w:rsidRDefault="003C72EF" w:rsidP="003C72EF">
      <w:r>
        <w:t>1. Fotel gabinetowy tapicerowany skóra naturalną w kolorze czarnym, tył fotela tapicerowany skorą ekologiczną o takiej samej strukturze, jak przód siedziska. Wypełnienie  stanowi pianka tapicerska. Rama i podłokietniki wykonane z litego drewna. Drewniana podstawa z lakierowanego litego drewna  na metalowym stelażu.</w:t>
      </w:r>
    </w:p>
    <w:p w14:paraId="031028E0" w14:textId="77777777" w:rsidR="003C72EF" w:rsidRDefault="003C72EF" w:rsidP="003C72EF">
      <w:r>
        <w:t xml:space="preserve"> 2. Krzesło z siłownikiem umożliwiającym płynną regulację wysokości siedziska w zakresie minimum 400 – 500 mm licząc od podłogi, mechanizm MULTI-BLOCK. </w:t>
      </w:r>
    </w:p>
    <w:p w14:paraId="1DFCD28C" w14:textId="77777777" w:rsidR="003C72EF" w:rsidRDefault="003C72EF" w:rsidP="003C72EF">
      <w:r>
        <w:t xml:space="preserve"> 3.Podstawa jezdna krzyżak ( pięcioramienny), wyposażona w kółka z hamulcem do podłóg miękkich. </w:t>
      </w:r>
    </w:p>
    <w:p w14:paraId="07260F0B" w14:textId="77777777" w:rsidR="003C72EF" w:rsidRDefault="003C72EF" w:rsidP="003C72EF">
      <w:r>
        <w:t xml:space="preserve">Protokół oceny ergonomicznej zgodnie z normą PN-EN 1335-1 lub równoważną. </w:t>
      </w:r>
    </w:p>
    <w:p w14:paraId="5A1BDCBB" w14:textId="77777777" w:rsidR="003C72EF" w:rsidRDefault="003C72EF" w:rsidP="003C72EF">
      <w:r>
        <w:t xml:space="preserve"> Wymiary, Oznaczanie wymiarów oraz zgodnie z Rozporządzeniem Ministra Pracy i Polityki Socjalnej z dnia 1 grudnia 1998r. (Dz.U.Nr148poz.973). </w:t>
      </w:r>
    </w:p>
    <w:p w14:paraId="79EFD390" w14:textId="77777777" w:rsidR="003C72EF" w:rsidRDefault="003C72EF" w:rsidP="003C72EF">
      <w:r>
        <w:t>Parametry techniczne tkaniny:</w:t>
      </w:r>
    </w:p>
    <w:p w14:paraId="00942F28" w14:textId="77777777" w:rsidR="003C72EF" w:rsidRDefault="003C72EF" w:rsidP="003C72EF">
      <w:r>
        <w:t>Gramatura: 250 g / m2</w:t>
      </w:r>
    </w:p>
    <w:p w14:paraId="4FE1BE1D" w14:textId="77777777" w:rsidR="003C72EF" w:rsidRDefault="003C72EF" w:rsidP="003C72EF">
      <w:r>
        <w:t>Skład: 100% polipropylen</w:t>
      </w:r>
    </w:p>
    <w:p w14:paraId="22473B4D" w14:textId="77777777" w:rsidR="003C72EF" w:rsidRDefault="003C72EF" w:rsidP="003C72EF">
      <w:r>
        <w:t>Odporność na ścieranie: 110 000 cykli</w:t>
      </w:r>
    </w:p>
    <w:p w14:paraId="21BAB2F8" w14:textId="77777777" w:rsidR="003C72EF" w:rsidRDefault="003C72EF" w:rsidP="003C72EF">
      <w:r>
        <w:t>Trudnopalność:</w:t>
      </w:r>
    </w:p>
    <w:p w14:paraId="12709E33" w14:textId="77777777" w:rsidR="003C72EF" w:rsidRDefault="003C72EF" w:rsidP="003C72EF">
      <w:r>
        <w:t>- EN 1021-1 (zapłon od tlącego papierosa).</w:t>
      </w:r>
    </w:p>
    <w:p w14:paraId="0571D6A9" w14:textId="77777777" w:rsidR="003C72EF" w:rsidRDefault="003C72EF" w:rsidP="003C72EF">
      <w:r>
        <w:t>ATESTY I CERTYFIKATY:</w:t>
      </w:r>
    </w:p>
    <w:p w14:paraId="7B44B37C" w14:textId="77777777" w:rsidR="003C72EF" w:rsidRDefault="003C72EF" w:rsidP="003C72EF">
      <w:r>
        <w:t>Atest higieniczny</w:t>
      </w:r>
    </w:p>
    <w:p w14:paraId="15A68EB1" w14:textId="77777777" w:rsidR="003C72EF" w:rsidRDefault="003C72EF" w:rsidP="003C72EF">
      <w:r>
        <w:t>Odporność na ścieranie PN-EN ISO 12947-2:2017-02 + PN-EN 14465:2005+A1:2007</w:t>
      </w:r>
    </w:p>
    <w:p w14:paraId="31BCCC7B" w14:textId="77777777" w:rsidR="003C72EF" w:rsidRDefault="003C72EF" w:rsidP="003C72EF">
      <w:r>
        <w:t xml:space="preserve"> 110 000 suwów</w:t>
      </w:r>
    </w:p>
    <w:p w14:paraId="32FD5CA8" w14:textId="77777777" w:rsidR="003C72EF" w:rsidRDefault="003C72EF" w:rsidP="003C72EF">
      <w:r>
        <w:t xml:space="preserve">Odporność na zapalenie układu tapicerskiego PN-EN 1021-1:2014-12 </w:t>
      </w:r>
    </w:p>
    <w:p w14:paraId="3CD867EE" w14:textId="77777777" w:rsidR="003C72EF" w:rsidRDefault="003C72EF" w:rsidP="003C72EF">
      <w:r>
        <w:t>PN-EN 1021-2:2014-12</w:t>
      </w:r>
    </w:p>
    <w:p w14:paraId="5517F990" w14:textId="77777777" w:rsidR="003C72EF" w:rsidRDefault="003C72EF" w:rsidP="003C72EF">
      <w:r>
        <w:t>Kolor tkaniny w zależności od potrzeb Zamawiającego</w:t>
      </w:r>
    </w:p>
    <w:p w14:paraId="2E623E68" w14:textId="77777777" w:rsidR="00FC4C4C" w:rsidRDefault="00FC4C4C"/>
    <w:sectPr w:rsidR="00FC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9"/>
    <w:rsid w:val="00005F79"/>
    <w:rsid w:val="003C72EF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FCEE"/>
  <w15:chartTrackingRefBased/>
  <w15:docId w15:val="{4F134171-EA50-45E5-B2E0-FDF248D5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>KGP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2024-02-19T12:20:00Z</dcterms:created>
  <dcterms:modified xsi:type="dcterms:W3CDTF">2024-02-19T12:21:00Z</dcterms:modified>
</cp:coreProperties>
</file>