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0B1163F8" w:rsidR="006F121B" w:rsidRDefault="001C3348">
      <w:pPr>
        <w:pStyle w:val="Standard"/>
        <w:spacing w:line="240" w:lineRule="auto"/>
        <w:jc w:val="center"/>
        <w:rPr>
          <w:rFonts w:ascii="Tahoma" w:hAnsi="Tahoma" w:cs="Tahoma"/>
          <w:sz w:val="22"/>
          <w:szCs w:val="22"/>
        </w:rPr>
      </w:pPr>
      <w:r>
        <w:rPr>
          <w:rFonts w:ascii="Tahoma" w:hAnsi="Tahoma" w:cs="Tahoma"/>
          <w:sz w:val="22"/>
          <w:szCs w:val="22"/>
        </w:rPr>
        <w:t xml:space="preserve">Umowa Nr </w:t>
      </w:r>
      <w:r w:rsidR="00566E59">
        <w:rPr>
          <w:rFonts w:ascii="Tahoma" w:hAnsi="Tahoma" w:cs="Tahoma"/>
          <w:sz w:val="22"/>
          <w:szCs w:val="22"/>
        </w:rPr>
        <w:t>.................2024</w:t>
      </w:r>
    </w:p>
    <w:p w14:paraId="517E62A0"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6F499D55"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sidR="00F34125" w:rsidRPr="00F34125">
        <w:rPr>
          <w:rFonts w:ascii="Tahoma" w:hAnsi="Tahoma" w:cs="Tahoma"/>
          <w:b/>
          <w:sz w:val="22"/>
          <w:szCs w:val="22"/>
        </w:rPr>
        <w:t xml:space="preserve">Miejskim Przedszkolem Publicznym </w:t>
      </w:r>
      <w:r w:rsidR="00D72FF3">
        <w:rPr>
          <w:rFonts w:ascii="Tahoma" w:hAnsi="Tahoma" w:cs="Tahoma"/>
          <w:b/>
          <w:sz w:val="22"/>
          <w:szCs w:val="22"/>
        </w:rPr>
        <w:t xml:space="preserve">     </w:t>
      </w:r>
      <w:r w:rsidR="00F34125" w:rsidRPr="00F34125">
        <w:rPr>
          <w:rFonts w:ascii="Tahoma" w:hAnsi="Tahoma" w:cs="Tahoma"/>
          <w:b/>
          <w:sz w:val="22"/>
          <w:szCs w:val="22"/>
        </w:rPr>
        <w:t>nr 1</w:t>
      </w:r>
      <w:r w:rsidR="00F34125">
        <w:rPr>
          <w:rFonts w:ascii="Tahoma" w:hAnsi="Tahoma" w:cs="Tahoma"/>
          <w:sz w:val="22"/>
          <w:szCs w:val="22"/>
        </w:rPr>
        <w:t xml:space="preserve"> </w:t>
      </w:r>
      <w:r>
        <w:rPr>
          <w:rFonts w:ascii="Tahoma" w:hAnsi="Tahoma" w:cs="Tahoma"/>
          <w:sz w:val="22"/>
          <w:szCs w:val="22"/>
        </w:rPr>
        <w:t xml:space="preserve">z siedzibą w Starogardzie Gdańskim przy ul. </w:t>
      </w:r>
      <w:r w:rsidR="00F34125">
        <w:rPr>
          <w:rFonts w:ascii="Tahoma" w:hAnsi="Tahoma" w:cs="Tahoma"/>
          <w:sz w:val="22"/>
          <w:szCs w:val="22"/>
        </w:rPr>
        <w:t>Sienkiewicza 19</w:t>
      </w:r>
      <w:r>
        <w:rPr>
          <w:rFonts w:ascii="Tahoma" w:hAnsi="Tahoma" w:cs="Tahoma"/>
          <w:sz w:val="22"/>
          <w:szCs w:val="22"/>
        </w:rPr>
        <w:t>, NIP 592-20-45-396, reprezentowaną przez:</w:t>
      </w:r>
    </w:p>
    <w:p w14:paraId="2B6794E8" w14:textId="4AF7E045" w:rsidR="006F121B" w:rsidRDefault="00F34125">
      <w:pPr>
        <w:pStyle w:val="Standard"/>
        <w:tabs>
          <w:tab w:val="left" w:pos="360"/>
        </w:tabs>
        <w:spacing w:line="240" w:lineRule="auto"/>
        <w:jc w:val="both"/>
        <w:rPr>
          <w:rFonts w:ascii="Tahoma" w:hAnsi="Tahoma" w:cs="Tahoma"/>
          <w:sz w:val="22"/>
          <w:szCs w:val="22"/>
        </w:rPr>
      </w:pPr>
      <w:r>
        <w:rPr>
          <w:rFonts w:ascii="Tahoma" w:hAnsi="Tahoma" w:cs="Tahoma"/>
          <w:sz w:val="22"/>
          <w:szCs w:val="22"/>
        </w:rPr>
        <w:t xml:space="preserve">Annę </w:t>
      </w:r>
      <w:proofErr w:type="spellStart"/>
      <w:r>
        <w:t>Płoszyńską</w:t>
      </w:r>
      <w:proofErr w:type="spellEnd"/>
      <w:r>
        <w:t xml:space="preserve"> – </w:t>
      </w:r>
      <w:proofErr w:type="spellStart"/>
      <w:r>
        <w:t>Damaszk</w:t>
      </w:r>
      <w:proofErr w:type="spellEnd"/>
      <w:r>
        <w:t xml:space="preserve"> </w:t>
      </w:r>
      <w:r w:rsidR="00566E59">
        <w:rPr>
          <w:rFonts w:ascii="Tahoma" w:hAnsi="Tahoma" w:cs="Tahoma"/>
          <w:sz w:val="22"/>
          <w:szCs w:val="22"/>
        </w:rPr>
        <w:t xml:space="preserve">– </w:t>
      </w:r>
      <w:r>
        <w:rPr>
          <w:rFonts w:ascii="Tahoma" w:hAnsi="Tahoma" w:cs="Tahoma"/>
          <w:sz w:val="22"/>
          <w:szCs w:val="22"/>
        </w:rPr>
        <w:t>Dyrektora MPP 1</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625C76D"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w:t>
      </w:r>
    </w:p>
    <w:p w14:paraId="2441DE3D" w14:textId="77777777" w:rsidR="006F121B" w:rsidRDefault="006F121B">
      <w:pPr>
        <w:pStyle w:val="Standard"/>
        <w:spacing w:line="240" w:lineRule="auto"/>
        <w:jc w:val="both"/>
        <w:rPr>
          <w:rFonts w:ascii="Tahoma" w:hAnsi="Tahoma" w:cs="Tahoma"/>
          <w:sz w:val="22"/>
          <w:szCs w:val="22"/>
        </w:rPr>
      </w:pPr>
    </w:p>
    <w:p w14:paraId="471B2014" w14:textId="77777777" w:rsidR="00244ECD" w:rsidRDefault="00566E59">
      <w:pPr>
        <w:pStyle w:val="Standard"/>
        <w:spacing w:line="240" w:lineRule="auto"/>
        <w:jc w:val="both"/>
        <w:rPr>
          <w:rFonts w:ascii="Tahoma" w:hAnsi="Tahoma" w:cs="Tahoma"/>
          <w:b/>
          <w:color w:val="000000"/>
          <w:sz w:val="20"/>
          <w:szCs w:val="20"/>
        </w:rPr>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r w:rsidR="00244ECD" w:rsidRPr="00244ECD">
        <w:rPr>
          <w:rFonts w:ascii="Tahoma" w:hAnsi="Tahoma" w:cs="Tahoma"/>
          <w:b/>
          <w:color w:val="000000"/>
          <w:sz w:val="20"/>
          <w:szCs w:val="20"/>
        </w:rPr>
        <w:t xml:space="preserve"> </w:t>
      </w:r>
    </w:p>
    <w:p w14:paraId="0DF782A9" w14:textId="00B560E4" w:rsidR="006F121B" w:rsidRPr="00244ECD" w:rsidRDefault="00244ECD" w:rsidP="00244ECD">
      <w:pPr>
        <w:pStyle w:val="Standard"/>
        <w:spacing w:line="240" w:lineRule="auto"/>
        <w:jc w:val="center"/>
        <w:rPr>
          <w:rFonts w:ascii="Tahoma" w:hAnsi="Tahoma" w:cs="Tahoma"/>
          <w:b/>
          <w:color w:val="000000"/>
        </w:rPr>
      </w:pPr>
      <w:r w:rsidRPr="00244ECD">
        <w:rPr>
          <w:rFonts w:ascii="Tahoma" w:hAnsi="Tahoma" w:cs="Tahoma"/>
          <w:b/>
          <w:color w:val="000000"/>
        </w:rPr>
        <w:t>„</w:t>
      </w:r>
      <w:r w:rsidR="00F34125" w:rsidRPr="00F34125">
        <w:rPr>
          <w:rFonts w:ascii="Tahoma" w:hAnsi="Tahoma" w:cs="Tahoma"/>
          <w:b/>
          <w:color w:val="000000"/>
        </w:rPr>
        <w:t>MPP 1 – Modernizacja ciągu komunikacyjnego wokół budynku Przedszkola</w:t>
      </w:r>
      <w:r w:rsidR="00D72FF3">
        <w:rPr>
          <w:rFonts w:ascii="Tahoma" w:hAnsi="Tahoma" w:cs="Tahoma"/>
          <w:b/>
          <w:color w:val="000000"/>
        </w:rPr>
        <w:t xml:space="preserve"> – przetarg II</w:t>
      </w:r>
      <w:r w:rsidRPr="00244ECD">
        <w:rPr>
          <w:rFonts w:ascii="Tahoma" w:hAnsi="Tahoma" w:cs="Tahoma"/>
          <w:b/>
          <w:color w:val="000000"/>
        </w:rPr>
        <w:t>”</w:t>
      </w:r>
    </w:p>
    <w:p w14:paraId="5E2738D5" w14:textId="77777777" w:rsidR="00244ECD" w:rsidRDefault="00244ECD" w:rsidP="00244ECD">
      <w:pPr>
        <w:pStyle w:val="Standard"/>
        <w:spacing w:line="240" w:lineRule="auto"/>
        <w:jc w:val="cente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7F300782" w14:textId="063349D3" w:rsidR="006F121B" w:rsidRPr="00F34125" w:rsidRDefault="00566E59" w:rsidP="00D72FF3">
      <w:pPr>
        <w:pStyle w:val="Standard"/>
        <w:tabs>
          <w:tab w:val="left" w:pos="284"/>
        </w:tabs>
        <w:spacing w:line="240" w:lineRule="auto"/>
        <w:ind w:left="435" w:hanging="420"/>
        <w:jc w:val="both"/>
        <w:rPr>
          <w:rFonts w:ascii="Tahoma" w:hAnsi="Tahoma" w:cs="Tahoma"/>
          <w:sz w:val="22"/>
          <w:szCs w:val="22"/>
        </w:rPr>
      </w:pPr>
      <w:r w:rsidRPr="00F34125">
        <w:rPr>
          <w:rFonts w:ascii="Tahoma" w:hAnsi="Tahoma" w:cs="Tahoma"/>
          <w:color w:val="000000"/>
          <w:sz w:val="22"/>
          <w:szCs w:val="22"/>
        </w:rPr>
        <w:t xml:space="preserve">1. Zamawiający  zamawia, a Wykonawca przyjmuje do wykonania roboty budowlane </w:t>
      </w:r>
      <w:r w:rsidR="00244ECD" w:rsidRPr="00F34125">
        <w:rPr>
          <w:rFonts w:ascii="Tahoma" w:hAnsi="Tahoma" w:cs="Tahoma"/>
          <w:sz w:val="22"/>
          <w:szCs w:val="22"/>
        </w:rPr>
        <w:t xml:space="preserve"> polegając</w:t>
      </w:r>
      <w:r w:rsidR="00D91758" w:rsidRPr="00F34125">
        <w:rPr>
          <w:rFonts w:ascii="Tahoma" w:hAnsi="Tahoma" w:cs="Tahoma"/>
          <w:sz w:val="22"/>
          <w:szCs w:val="22"/>
        </w:rPr>
        <w:t>e</w:t>
      </w:r>
      <w:r w:rsidR="00244ECD" w:rsidRPr="00F34125">
        <w:rPr>
          <w:rFonts w:ascii="Tahoma" w:hAnsi="Tahoma" w:cs="Tahoma"/>
          <w:sz w:val="22"/>
          <w:szCs w:val="22"/>
        </w:rPr>
        <w:t xml:space="preserve"> na modernizacji </w:t>
      </w:r>
      <w:r w:rsidR="00F34125" w:rsidRPr="00F34125">
        <w:rPr>
          <w:rFonts w:ascii="Tahoma" w:hAnsi="Tahoma" w:cs="Tahoma"/>
          <w:sz w:val="22"/>
          <w:szCs w:val="22"/>
        </w:rPr>
        <w:t xml:space="preserve">ciągu komunikacyjnego wokół budynku MPP nr 1 </w:t>
      </w:r>
      <w:r w:rsidR="00D91758" w:rsidRPr="00F34125">
        <w:rPr>
          <w:rFonts w:ascii="Tahoma" w:hAnsi="Tahoma" w:cs="Tahoma"/>
          <w:sz w:val="22"/>
          <w:szCs w:val="22"/>
        </w:rPr>
        <w:t xml:space="preserve">w Starogardzie Gdańskim </w:t>
      </w:r>
      <w:r w:rsidRPr="00F34125">
        <w:rPr>
          <w:rFonts w:ascii="Tahoma" w:hAnsi="Tahoma" w:cs="Tahoma"/>
          <w:color w:val="000000"/>
          <w:sz w:val="22"/>
          <w:szCs w:val="22"/>
        </w:rPr>
        <w:t>w ramach zadania inwestycyjnego pn.: „</w:t>
      </w:r>
      <w:r w:rsidR="00F34125" w:rsidRPr="00F34125">
        <w:rPr>
          <w:rFonts w:ascii="Tahoma" w:hAnsi="Tahoma" w:cs="Tahoma"/>
          <w:color w:val="000000"/>
          <w:sz w:val="22"/>
          <w:szCs w:val="22"/>
        </w:rPr>
        <w:t>MPP 1 – Modernizacja ciągu komunikacyjnego wokół budynku Przedszkola</w:t>
      </w:r>
      <w:r w:rsidR="00D91758" w:rsidRPr="00F34125">
        <w:rPr>
          <w:rFonts w:ascii="Tahoma" w:hAnsi="Tahoma" w:cs="Tahoma"/>
          <w:color w:val="000000"/>
          <w:sz w:val="22"/>
          <w:szCs w:val="22"/>
        </w:rPr>
        <w:t xml:space="preserve">” </w:t>
      </w:r>
      <w:r w:rsidRPr="00F34125">
        <w:rPr>
          <w:rStyle w:val="Numerstrony"/>
          <w:rFonts w:ascii="Tahoma" w:eastAsia="Times New Roman" w:hAnsi="Tahoma" w:cs="Tahoma"/>
          <w:color w:val="000000"/>
          <w:spacing w:val="-1"/>
          <w:sz w:val="22"/>
          <w:szCs w:val="22"/>
        </w:rPr>
        <w:t xml:space="preserve">na podstawie </w:t>
      </w:r>
      <w:r w:rsidR="00DE5907">
        <w:rPr>
          <w:rStyle w:val="Numerstrony"/>
          <w:rFonts w:ascii="Tahoma" w:eastAsia="Times New Roman" w:hAnsi="Tahoma" w:cs="Tahoma"/>
          <w:color w:val="000000"/>
          <w:spacing w:val="-1"/>
          <w:sz w:val="22"/>
          <w:szCs w:val="22"/>
        </w:rPr>
        <w:t xml:space="preserve">Projektu wykonawczego oraz </w:t>
      </w:r>
      <w:proofErr w:type="spellStart"/>
      <w:r w:rsidR="00DE5907">
        <w:rPr>
          <w:rStyle w:val="Numerstrony"/>
          <w:rFonts w:ascii="Tahoma" w:eastAsia="Times New Roman" w:hAnsi="Tahoma" w:cs="Tahoma"/>
          <w:color w:val="000000"/>
          <w:spacing w:val="-1"/>
          <w:sz w:val="22"/>
          <w:szCs w:val="22"/>
        </w:rPr>
        <w:t>STWiOR</w:t>
      </w:r>
      <w:proofErr w:type="spellEnd"/>
      <w:r w:rsidRPr="00F34125">
        <w:rPr>
          <w:rStyle w:val="Numerstrony"/>
          <w:rFonts w:ascii="Tahoma" w:eastAsia="Times New Roman" w:hAnsi="Tahoma" w:cs="Tahoma"/>
          <w:color w:val="000000"/>
          <w:spacing w:val="-1"/>
          <w:sz w:val="22"/>
          <w:szCs w:val="22"/>
        </w:rPr>
        <w:t>.</w:t>
      </w:r>
    </w:p>
    <w:p w14:paraId="709D0A9F" w14:textId="7044E194"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76565A" w14:textId="7C39EF4D"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244ECD">
        <w:rPr>
          <w:rFonts w:ascii="Tahoma" w:hAnsi="Tahoma" w:cs="Tahoma"/>
          <w:sz w:val="22"/>
          <w:szCs w:val="22"/>
        </w:rPr>
        <w:t>60</w:t>
      </w:r>
      <w:r>
        <w:rPr>
          <w:rFonts w:ascii="Tahoma" w:hAnsi="Tahoma" w:cs="Tahoma"/>
          <w:sz w:val="22"/>
          <w:szCs w:val="22"/>
        </w:rPr>
        <w:t xml:space="preserve">  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w:t>
      </w:r>
      <w:proofErr w:type="spellStart"/>
      <w:r>
        <w:rPr>
          <w:rFonts w:ascii="Tahoma" w:hAnsi="Tahoma" w:cs="Tahoma"/>
          <w:sz w:val="22"/>
          <w:szCs w:val="22"/>
        </w:rPr>
        <w:t>ppoż</w:t>
      </w:r>
      <w:proofErr w:type="spellEnd"/>
      <w:r>
        <w:rPr>
          <w:rFonts w:ascii="Tahoma" w:hAnsi="Tahoma" w:cs="Tahoma"/>
          <w:sz w:val="22"/>
          <w:szCs w:val="22"/>
        </w:rPr>
        <w:t xml:space="preserve">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lastRenderedPageBreak/>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4138524E"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xml:space="preserve"> przez Nadzór, przeglądach oraz do usuwania stwierdzonych w trakcie tych </w:t>
      </w:r>
      <w:proofErr w:type="spellStart"/>
      <w:r>
        <w:rPr>
          <w:rFonts w:ascii="Tahoma" w:hAnsi="Tahoma" w:cs="Tahoma"/>
          <w:sz w:val="22"/>
          <w:szCs w:val="22"/>
        </w:rPr>
        <w:t>przeglą</w:t>
      </w:r>
      <w:proofErr w:type="spellEnd"/>
      <w:r>
        <w:rPr>
          <w:rFonts w:ascii="Tahoma" w:hAnsi="Tahoma" w:cs="Tahoma"/>
          <w:sz w:val="22"/>
          <w:szCs w:val="22"/>
        </w:rPr>
        <w:t xml:space="preserve">- </w:t>
      </w:r>
      <w:proofErr w:type="spellStart"/>
      <w:r>
        <w:rPr>
          <w:rFonts w:ascii="Tahoma" w:hAnsi="Tahoma" w:cs="Tahoma"/>
          <w:sz w:val="22"/>
          <w:szCs w:val="22"/>
        </w:rPr>
        <w:t>dów</w:t>
      </w:r>
      <w:proofErr w:type="spellEnd"/>
      <w:r>
        <w:rPr>
          <w:rFonts w:ascii="Tahoma" w:hAnsi="Tahoma" w:cs="Tahoma"/>
          <w:sz w:val="22"/>
          <w:szCs w:val="22"/>
        </w:rPr>
        <w:t xml:space="preserve">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późn.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lastRenderedPageBreak/>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2B59FA24"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w:t>
      </w:r>
      <w:r w:rsidR="00314071">
        <w:rPr>
          <w:rFonts w:ascii="Tahoma" w:eastAsia="Helvetica, Arial" w:hAnsi="Tahoma" w:cs="Tahoma"/>
          <w:sz w:val="22"/>
          <w:szCs w:val="22"/>
        </w:rPr>
        <w:t xml:space="preserve"> </w:t>
      </w:r>
      <w:r>
        <w:rPr>
          <w:rFonts w:ascii="Tahoma" w:eastAsia="Helvetica, Arial" w:hAnsi="Tahoma" w:cs="Tahoma"/>
          <w:sz w:val="22"/>
          <w:szCs w:val="22"/>
        </w:rPr>
        <w:t>pisemnych</w:t>
      </w:r>
      <w:r w:rsidR="00314071">
        <w:rPr>
          <w:rFonts w:ascii="Tahoma" w:eastAsia="Helvetica, Arial" w:hAnsi="Tahoma" w:cs="Tahoma"/>
          <w:sz w:val="22"/>
          <w:szCs w:val="22"/>
        </w:rPr>
        <w:t xml:space="preserve"> </w:t>
      </w:r>
      <w:r>
        <w:rPr>
          <w:rFonts w:ascii="Tahoma" w:eastAsia="Helvetica, Arial" w:hAnsi="Tahoma" w:cs="Tahoma"/>
          <w:sz w:val="22"/>
          <w:szCs w:val="22"/>
        </w:rPr>
        <w:t>zastrzeżeń</w:t>
      </w:r>
      <w:r w:rsidR="00314071">
        <w:rPr>
          <w:rFonts w:ascii="Tahoma" w:eastAsia="TTE1A17808t00" w:hAnsi="Tahoma" w:cs="Tahoma"/>
          <w:sz w:val="22"/>
          <w:szCs w:val="22"/>
        </w:rPr>
        <w:t xml:space="preserve"> </w:t>
      </w:r>
      <w:r>
        <w:rPr>
          <w:rFonts w:ascii="Tahoma" w:eastAsia="Helvetica, Arial" w:hAnsi="Tahoma" w:cs="Tahoma"/>
          <w:sz w:val="22"/>
          <w:szCs w:val="22"/>
        </w:rPr>
        <w:t>do</w:t>
      </w:r>
      <w:r w:rsidR="00314071">
        <w:rPr>
          <w:rFonts w:ascii="Tahoma" w:eastAsia="Helvetica, Arial" w:hAnsi="Tahoma" w:cs="Tahoma"/>
          <w:sz w:val="22"/>
          <w:szCs w:val="22"/>
        </w:rPr>
        <w:t xml:space="preserve"> </w:t>
      </w:r>
      <w:r>
        <w:rPr>
          <w:rFonts w:ascii="Tahoma" w:eastAsia="Helvetica, Arial" w:hAnsi="Tahoma" w:cs="Tahoma"/>
          <w:sz w:val="22"/>
          <w:szCs w:val="22"/>
        </w:rPr>
        <w:t>przedłożonego projektu</w:t>
      </w:r>
      <w:r w:rsidR="00314071">
        <w:rPr>
          <w:rFonts w:ascii="Tahoma" w:eastAsia="Helvetica, Arial" w:hAnsi="Tahoma" w:cs="Tahoma"/>
          <w:sz w:val="22"/>
          <w:szCs w:val="22"/>
        </w:rPr>
        <w:t xml:space="preserve"> </w:t>
      </w:r>
      <w:r>
        <w:rPr>
          <w:rFonts w:ascii="Tahoma" w:eastAsia="Helvetica, Arial" w:hAnsi="Tahoma" w:cs="Tahoma"/>
          <w:sz w:val="22"/>
          <w:szCs w:val="22"/>
        </w:rPr>
        <w:t>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lastRenderedPageBreak/>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22772AD8" w14:textId="7D54529C"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8 Odbiory robót</w:t>
      </w: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 xml:space="preserve">Jeżeli mimo istnienia wad lub braków Nadzór dokonuje odbioru, Wykonawca jest zobowiązany do niezwłocznego, lecz nie później niż w ciągu 7 dni, usunięcia wad albo uzupełnienia braków wyszczególnionych w protokole odbioru. To samo dotyczy sytuacji, gdy wady lub </w:t>
      </w:r>
      <w:r>
        <w:rPr>
          <w:rFonts w:ascii="Tahoma" w:hAnsi="Tahoma" w:cs="Tahoma"/>
          <w:sz w:val="22"/>
          <w:szCs w:val="22"/>
        </w:rPr>
        <w:lastRenderedPageBreak/>
        <w:t>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10 Rozliczenia i płatności</w:t>
      </w: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0564E264" w14:textId="77777777" w:rsidR="00FF2C80" w:rsidRDefault="00FF2C80">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11 Gwarancja i rękojmia</w:t>
      </w: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Karty gwarancyjne nie mogą zawierać jakichkolwiek </w:t>
      </w:r>
      <w:proofErr w:type="spellStart"/>
      <w:r>
        <w:rPr>
          <w:rFonts w:ascii="Tahoma" w:hAnsi="Tahoma" w:cs="Tahoma"/>
          <w:sz w:val="22"/>
          <w:szCs w:val="22"/>
        </w:rPr>
        <w:t>wyłączeń</w:t>
      </w:r>
      <w:proofErr w:type="spellEnd"/>
      <w:r>
        <w:rPr>
          <w:rFonts w:ascii="Tahoma" w:hAnsi="Tahoma" w:cs="Tahoma"/>
          <w:sz w:val="22"/>
          <w:szCs w:val="22"/>
        </w:rPr>
        <w:t xml:space="preserve">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77777777"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a) za zwłokę w wykonaniu przedmiotu umowy względem terminu określonego w §2 ust.1  niniejszej umowy, w wysokości 0,1 % wynagrodzenia brutto, określonego w § 9 ust. 1 umowy, za każdy dzień opóźnienia, licząc od następnego dnia po upływie terminu określonego w § 2 ust.1 umowy,</w:t>
      </w:r>
    </w:p>
    <w:p w14:paraId="20FD772A" w14:textId="77777777"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za zwłokę w usunięciu wad i usterek, stwierdzonych przy odbiorze robót lub ujawnionych w okresie gwarancji i rękojmi, w wysokości 0,1 % wynagrodzenia brutto, określonego w § 9 ust. 1 umowy, za każdy dzień opóźnienia,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lastRenderedPageBreak/>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77777777"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13 Odstąpienie od umowy/rozwiązanie umowy</w:t>
      </w: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 xml:space="preserve">c) nie rozpoczęcia robót przez Wykonawcę bez uzasadnionych przyczyn oraz nie </w:t>
      </w:r>
      <w:proofErr w:type="spellStart"/>
      <w:r>
        <w:rPr>
          <w:rFonts w:ascii="Tahoma" w:hAnsi="Tahoma" w:cs="Tahoma"/>
          <w:sz w:val="22"/>
          <w:szCs w:val="22"/>
        </w:rPr>
        <w:t>kontynu</w:t>
      </w:r>
      <w:proofErr w:type="spellEnd"/>
      <w:r>
        <w:rPr>
          <w:rFonts w:ascii="Tahoma" w:hAnsi="Tahoma" w:cs="Tahoma"/>
          <w:sz w:val="22"/>
          <w:szCs w:val="22"/>
        </w:rPr>
        <w:t xml:space="preserve">- </w:t>
      </w:r>
      <w:proofErr w:type="spellStart"/>
      <w:r>
        <w:rPr>
          <w:rFonts w:ascii="Tahoma" w:hAnsi="Tahoma" w:cs="Tahoma"/>
          <w:sz w:val="22"/>
          <w:szCs w:val="22"/>
        </w:rPr>
        <w:t>owania</w:t>
      </w:r>
      <w:proofErr w:type="spellEnd"/>
      <w:r>
        <w:rPr>
          <w:rFonts w:ascii="Tahoma" w:hAnsi="Tahoma" w:cs="Tahoma"/>
          <w:sz w:val="22"/>
          <w:szCs w:val="22"/>
        </w:rPr>
        <w:t xml:space="preserve">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lastRenderedPageBreak/>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 xml:space="preserve">a) w ciągu 7 dni Wykonawca przy udziale Nadzoru sporządzi szczegółowy protokół </w:t>
      </w:r>
      <w:proofErr w:type="spellStart"/>
      <w:r>
        <w:rPr>
          <w:rFonts w:ascii="Tahoma" w:hAnsi="Tahoma" w:cs="Tahoma"/>
          <w:sz w:val="22"/>
          <w:szCs w:val="22"/>
        </w:rPr>
        <w:t>inwen</w:t>
      </w:r>
      <w:proofErr w:type="spellEnd"/>
      <w:r>
        <w:rPr>
          <w:rFonts w:ascii="Tahoma" w:hAnsi="Tahoma" w:cs="Tahoma"/>
          <w:sz w:val="22"/>
          <w:szCs w:val="22"/>
        </w:rPr>
        <w:t>-</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proofErr w:type="spellStart"/>
      <w:r>
        <w:rPr>
          <w:rFonts w:ascii="Tahoma" w:hAnsi="Tahoma" w:cs="Tahoma"/>
          <w:sz w:val="22"/>
          <w:szCs w:val="22"/>
        </w:rPr>
        <w:t>taryzacji</w:t>
      </w:r>
      <w:proofErr w:type="spellEnd"/>
      <w:r>
        <w:rPr>
          <w:rFonts w:ascii="Tahoma" w:hAnsi="Tahoma" w:cs="Tahoma"/>
          <w:sz w:val="22"/>
          <w:szCs w:val="22"/>
        </w:rPr>
        <w:t xml:space="preserve">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 xml:space="preserve">c) Wykonawca zgłosi do dokonania  odbioru przez Nadzór oraz Zamawiającego roboty prze-   rwane oraz roboty zabezpieczające oraz niezwłocznie, a najpóźniej w terminie 14 dni, </w:t>
      </w:r>
      <w:proofErr w:type="spellStart"/>
      <w:r>
        <w:rPr>
          <w:rFonts w:ascii="Tahoma" w:hAnsi="Tahoma" w:cs="Tahoma"/>
          <w:sz w:val="22"/>
          <w:szCs w:val="22"/>
        </w:rPr>
        <w:t>usu</w:t>
      </w:r>
      <w:proofErr w:type="spellEnd"/>
      <w:r>
        <w:rPr>
          <w:rFonts w:ascii="Tahoma" w:hAnsi="Tahoma" w:cs="Tahoma"/>
          <w:sz w:val="22"/>
          <w:szCs w:val="22"/>
        </w:rPr>
        <w:t>-</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konywania</w:t>
      </w:r>
      <w:proofErr w:type="spellEnd"/>
      <w:r>
        <w:rPr>
          <w:rFonts w:ascii="Tahoma" w:hAnsi="Tahoma" w:cs="Tahoma"/>
          <w:sz w:val="22"/>
          <w:szCs w:val="22"/>
        </w:rPr>
        <w:t xml:space="preserve">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wskazane  przez  Zamawiającego w dokumentacji  projektowej, powodujących </w:t>
      </w:r>
      <w:proofErr w:type="spellStart"/>
      <w:r>
        <w:rPr>
          <w:rFonts w:ascii="Tahoma" w:hAnsi="Tahoma" w:cs="Tahoma"/>
          <w:sz w:val="22"/>
          <w:szCs w:val="22"/>
        </w:rPr>
        <w:t>koniecz</w:t>
      </w:r>
      <w:proofErr w:type="spellEnd"/>
      <w:r>
        <w:rPr>
          <w:rFonts w:ascii="Tahoma" w:hAnsi="Tahoma" w:cs="Tahoma"/>
          <w:sz w:val="22"/>
          <w:szCs w:val="22"/>
        </w:rPr>
        <w:t>-</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ność</w:t>
      </w:r>
      <w:proofErr w:type="spellEnd"/>
      <w:r>
        <w:rPr>
          <w:rFonts w:ascii="Tahoma" w:hAnsi="Tahoma" w:cs="Tahoma"/>
          <w:sz w:val="22"/>
          <w:szCs w:val="22"/>
        </w:rPr>
        <w:t xml:space="preserve">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i) wystąpienia na terenie budowy niewybuchów, niewypałów lub znalezisk </w:t>
      </w:r>
      <w:proofErr w:type="spellStart"/>
      <w:r>
        <w:rPr>
          <w:rFonts w:ascii="Tahoma" w:hAnsi="Tahoma" w:cs="Tahoma"/>
          <w:sz w:val="22"/>
          <w:szCs w:val="22"/>
        </w:rPr>
        <w:t>archeologicz</w:t>
      </w:r>
      <w:proofErr w:type="spellEnd"/>
      <w:r>
        <w:rPr>
          <w:rFonts w:ascii="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w:t>
      </w:r>
      <w:r>
        <w:rPr>
          <w:rFonts w:ascii="Tahoma" w:hAnsi="Tahoma" w:cs="Tahoma"/>
          <w:color w:val="000000"/>
          <w:sz w:val="22"/>
          <w:szCs w:val="22"/>
          <w:lang w:eastAsia="pl-PL"/>
        </w:rPr>
        <w:lastRenderedPageBreak/>
        <w:t>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64609FB9" w14:textId="77777777" w:rsidR="00FF2C80" w:rsidRDefault="00FF2C80">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lastRenderedPageBreak/>
        <w:t>§ 15 W</w:t>
      </w:r>
      <w:r>
        <w:rPr>
          <w:rFonts w:ascii="Tahoma" w:eastAsia="SimSun, 宋体" w:hAnsi="Tahoma" w:cs="Tahoma"/>
          <w:b/>
          <w:bCs/>
          <w:sz w:val="22"/>
          <w:szCs w:val="22"/>
          <w:lang w:eastAsia="zh-CN" w:bidi="hi-IN"/>
        </w:rPr>
        <w:t>ymóg zatrudnienia na podstawie umowy o pracę</w:t>
      </w:r>
    </w:p>
    <w:p w14:paraId="2D0886B4" w14:textId="72111143" w:rsidR="006F121B" w:rsidRPr="003B1F7B" w:rsidRDefault="00566E59" w:rsidP="003B1F7B">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3B24795D" w14:textId="2C2F0973"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Umowa została sporządzona w 3 jednobrzmiących egzemplarzach, 2 egz. dla Zamawiającego i 1 egz. dla Wykonawcy.</w:t>
      </w:r>
    </w:p>
    <w:p w14:paraId="47985C9B" w14:textId="77777777" w:rsidR="00FF2C80" w:rsidRDefault="00FF2C80" w:rsidP="00FF2C80">
      <w:pPr>
        <w:pStyle w:val="Standard"/>
        <w:suppressAutoHyphens w:val="0"/>
        <w:spacing w:line="240" w:lineRule="auto"/>
        <w:ind w:left="283"/>
        <w:jc w:val="both"/>
        <w:rPr>
          <w:rFonts w:ascii="Tahoma" w:hAnsi="Tahoma" w:cs="Tahoma"/>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BCFFE" w14:textId="77777777" w:rsidR="008E34C7" w:rsidRDefault="008E34C7">
      <w:r>
        <w:separator/>
      </w:r>
    </w:p>
  </w:endnote>
  <w:endnote w:type="continuationSeparator" w:id="0">
    <w:p w14:paraId="4C79E1C4" w14:textId="77777777" w:rsidR="008E34C7" w:rsidRDefault="008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altName w:val="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sidR="00DE5907">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52B46" w14:textId="77777777" w:rsidR="008E34C7" w:rsidRDefault="008E34C7">
      <w:r>
        <w:rPr>
          <w:color w:val="000000"/>
        </w:rPr>
        <w:separator/>
      </w:r>
    </w:p>
  </w:footnote>
  <w:footnote w:type="continuationSeparator" w:id="0">
    <w:p w14:paraId="6BBAAA2B" w14:textId="77777777" w:rsidR="008E34C7" w:rsidRDefault="008E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589703094">
    <w:abstractNumId w:val="15"/>
  </w:num>
  <w:num w:numId="2" w16cid:durableId="265697444">
    <w:abstractNumId w:val="14"/>
  </w:num>
  <w:num w:numId="3" w16cid:durableId="347176540">
    <w:abstractNumId w:val="2"/>
  </w:num>
  <w:num w:numId="4" w16cid:durableId="2130925636">
    <w:abstractNumId w:val="13"/>
  </w:num>
  <w:num w:numId="5" w16cid:durableId="931009999">
    <w:abstractNumId w:val="12"/>
  </w:num>
  <w:num w:numId="6" w16cid:durableId="1091897256">
    <w:abstractNumId w:val="17"/>
  </w:num>
  <w:num w:numId="7" w16cid:durableId="1247567963">
    <w:abstractNumId w:val="16"/>
  </w:num>
  <w:num w:numId="8" w16cid:durableId="1711952733">
    <w:abstractNumId w:val="1"/>
  </w:num>
  <w:num w:numId="9" w16cid:durableId="1337920407">
    <w:abstractNumId w:val="11"/>
  </w:num>
  <w:num w:numId="10" w16cid:durableId="1862619873">
    <w:abstractNumId w:val="20"/>
  </w:num>
  <w:num w:numId="11" w16cid:durableId="1210337602">
    <w:abstractNumId w:val="5"/>
  </w:num>
  <w:num w:numId="12" w16cid:durableId="317729276">
    <w:abstractNumId w:val="19"/>
  </w:num>
  <w:num w:numId="13" w16cid:durableId="544607592">
    <w:abstractNumId w:val="6"/>
  </w:num>
  <w:num w:numId="14" w16cid:durableId="846409680">
    <w:abstractNumId w:val="3"/>
  </w:num>
  <w:num w:numId="15" w16cid:durableId="564680328">
    <w:abstractNumId w:val="4"/>
  </w:num>
  <w:num w:numId="16" w16cid:durableId="348487066">
    <w:abstractNumId w:val="0"/>
  </w:num>
  <w:num w:numId="17" w16cid:durableId="433139125">
    <w:abstractNumId w:val="9"/>
  </w:num>
  <w:num w:numId="18" w16cid:durableId="1941449455">
    <w:abstractNumId w:val="7"/>
  </w:num>
  <w:num w:numId="19" w16cid:durableId="1981036053">
    <w:abstractNumId w:val="10"/>
  </w:num>
  <w:num w:numId="20" w16cid:durableId="1135561399">
    <w:abstractNumId w:val="8"/>
  </w:num>
  <w:num w:numId="21" w16cid:durableId="415244515">
    <w:abstractNumId w:val="4"/>
    <w:lvlOverride w:ilvl="0">
      <w:startOverride w:val="1"/>
    </w:lvlOverride>
  </w:num>
  <w:num w:numId="22" w16cid:durableId="69431462">
    <w:abstractNumId w:val="1"/>
    <w:lvlOverride w:ilvl="0">
      <w:startOverride w:val="1"/>
    </w:lvlOverride>
  </w:num>
  <w:num w:numId="23" w16cid:durableId="1920479826">
    <w:abstractNumId w:val="5"/>
    <w:lvlOverride w:ilvl="0">
      <w:startOverride w:val="1"/>
    </w:lvlOverride>
  </w:num>
  <w:num w:numId="24" w16cid:durableId="125049551">
    <w:abstractNumId w:val="12"/>
    <w:lvlOverride w:ilvl="0">
      <w:startOverride w:val="1"/>
    </w:lvlOverride>
  </w:num>
  <w:num w:numId="25" w16cid:durableId="2037391796">
    <w:abstractNumId w:val="10"/>
    <w:lvlOverride w:ilvl="0">
      <w:startOverride w:val="1"/>
    </w:lvlOverride>
  </w:num>
  <w:num w:numId="26" w16cid:durableId="603727936">
    <w:abstractNumId w:val="9"/>
    <w:lvlOverride w:ilvl="0">
      <w:startOverride w:val="22"/>
    </w:lvlOverride>
  </w:num>
  <w:num w:numId="27" w16cid:durableId="1541433608">
    <w:abstractNumId w:val="11"/>
    <w:lvlOverride w:ilvl="0">
      <w:startOverride w:val="1"/>
    </w:lvlOverride>
  </w:num>
  <w:num w:numId="28" w16cid:durableId="1144543431">
    <w:abstractNumId w:val="16"/>
    <w:lvlOverride w:ilvl="0">
      <w:startOverride w:val="1"/>
    </w:lvlOverride>
  </w:num>
  <w:num w:numId="29" w16cid:durableId="94832413">
    <w:abstractNumId w:val="0"/>
    <w:lvlOverride w:ilvl="0">
      <w:startOverride w:val="3"/>
    </w:lvlOverride>
  </w:num>
  <w:num w:numId="30" w16cid:durableId="1039551082">
    <w:abstractNumId w:val="20"/>
    <w:lvlOverride w:ilvl="0">
      <w:startOverride w:val="1"/>
    </w:lvlOverride>
  </w:num>
  <w:num w:numId="31" w16cid:durableId="1660113723">
    <w:abstractNumId w:val="19"/>
    <w:lvlOverride w:ilvl="0">
      <w:startOverride w:val="1"/>
    </w:lvlOverride>
  </w:num>
  <w:num w:numId="32" w16cid:durableId="882640956">
    <w:abstractNumId w:val="7"/>
    <w:lvlOverride w:ilvl="0">
      <w:startOverride w:val="2"/>
    </w:lvlOverride>
  </w:num>
  <w:num w:numId="33" w16cid:durableId="1227380877">
    <w:abstractNumId w:val="3"/>
    <w:lvlOverride w:ilvl="0">
      <w:startOverride w:val="1"/>
    </w:lvlOverride>
  </w:num>
  <w:num w:numId="34" w16cid:durableId="442648997">
    <w:abstractNumId w:val="2"/>
    <w:lvlOverride w:ilvl="0">
      <w:startOverride w:val="1"/>
    </w:lvlOverride>
  </w:num>
  <w:num w:numId="35" w16cid:durableId="1077359518">
    <w:abstractNumId w:val="6"/>
    <w:lvlOverride w:ilvl="0">
      <w:startOverride w:val="1"/>
    </w:lvlOverride>
  </w:num>
  <w:num w:numId="36" w16cid:durableId="1020812861">
    <w:abstractNumId w:val="8"/>
    <w:lvlOverride w:ilvl="0">
      <w:startOverride w:val="1"/>
    </w:lvlOverride>
  </w:num>
  <w:num w:numId="37" w16cid:durableId="1144470171">
    <w:abstractNumId w:val="17"/>
    <w:lvlOverride w:ilvl="0">
      <w:startOverride w:val="1"/>
    </w:lvlOverride>
  </w:num>
  <w:num w:numId="38" w16cid:durableId="16683588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70E5E"/>
    <w:rsid w:val="001C3348"/>
    <w:rsid w:val="00244ECD"/>
    <w:rsid w:val="00314071"/>
    <w:rsid w:val="003B1F7B"/>
    <w:rsid w:val="00423B4B"/>
    <w:rsid w:val="00424FB6"/>
    <w:rsid w:val="00441346"/>
    <w:rsid w:val="00566E59"/>
    <w:rsid w:val="005C2E38"/>
    <w:rsid w:val="006F121B"/>
    <w:rsid w:val="008E34C7"/>
    <w:rsid w:val="009C1C16"/>
    <w:rsid w:val="00AA4A4A"/>
    <w:rsid w:val="00B0716E"/>
    <w:rsid w:val="00C03224"/>
    <w:rsid w:val="00C23F51"/>
    <w:rsid w:val="00C64A18"/>
    <w:rsid w:val="00D33ACB"/>
    <w:rsid w:val="00D72FF3"/>
    <w:rsid w:val="00D91758"/>
    <w:rsid w:val="00DB6DA2"/>
    <w:rsid w:val="00DE5907"/>
    <w:rsid w:val="00E12339"/>
    <w:rsid w:val="00EA050C"/>
    <w:rsid w:val="00EB17B9"/>
    <w:rsid w:val="00EC4270"/>
    <w:rsid w:val="00F34125"/>
    <w:rsid w:val="00FF2C80"/>
    <w:rsid w:val="00FF5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Anna Szyszkowska-Marquardt</cp:lastModifiedBy>
  <cp:revision>18</cp:revision>
  <cp:lastPrinted>2024-04-17T12:55:00Z</cp:lastPrinted>
  <dcterms:created xsi:type="dcterms:W3CDTF">2024-02-28T09:56:00Z</dcterms:created>
  <dcterms:modified xsi:type="dcterms:W3CDTF">2024-07-23T12:19:00Z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